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48D8B" w14:textId="6B0D7158" w:rsidR="00D11F6B" w:rsidRDefault="00A86DA9" w:rsidP="00B15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043">
        <w:rPr>
          <w:rFonts w:ascii="Times New Roman" w:hAnsi="Times New Roman" w:cs="Times New Roman"/>
          <w:sz w:val="28"/>
          <w:szCs w:val="28"/>
        </w:rPr>
        <w:t>Информация</w:t>
      </w:r>
    </w:p>
    <w:p w14:paraId="490BABFC" w14:textId="77777777" w:rsidR="00B15043" w:rsidRDefault="00B15043" w:rsidP="00B15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результатах мониторинга удовлетворенности качеством образования участников образовательного процесса на основе анкетирования педагогических работников, обучающихся 9-11 классов и родителей (законных представителей) обучающихся этих же классов образовательных организаций со стабильно низкими образовательными результатами, проведенного в соответствии с пунктом 1 Комплекса мер по оказанию методической помощи общеобразовательным организациям, показывающим низкие образовательные результаты, в 2022 году, утвержденного приказом Министерства образования и науки Республики Адыгея от 08.02.2022 №313</w:t>
      </w:r>
    </w:p>
    <w:p w14:paraId="0F42D077" w14:textId="77777777" w:rsidR="00B15043" w:rsidRDefault="00B15043" w:rsidP="00B150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AB55381" w14:textId="77777777" w:rsidR="001F33D0" w:rsidRDefault="001F33D0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C5C856" w14:textId="19501DE7" w:rsidR="001F33D0" w:rsidRDefault="001F33D0" w:rsidP="001F33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пунктом 1 Комплекса мер по оказанию методической помощи общеобразовательным организациям, показывающим низкие образовательные результаты, в 2022 году, утвержденного приказом Министерства образования и науки Республики Адыгея от 08.02.2022 №313, в феврале-апреле 2022 года в школах, список которых утвержден вышеназванным приказом, ГБУ РА «Государственная аттестационная служба системы образования» совместно с муниципальными органами </w:t>
      </w:r>
      <w:r w:rsidR="009B225B">
        <w:rPr>
          <w:rFonts w:ascii="Times New Roman" w:hAnsi="Times New Roman" w:cs="Times New Roman"/>
          <w:sz w:val="28"/>
          <w:szCs w:val="28"/>
        </w:rPr>
        <w:t>управления образованием организован мониторинг удовлетворенности качеством образования участников образовательного процесса на основе анкетирования педагогических работников, обучающихся 9-11 классов и родителей (законных представителей) обучающихся этих же классов образовательных организаций со стабильно низкими образовательными результатами</w:t>
      </w:r>
      <w:r w:rsidR="00E94288">
        <w:rPr>
          <w:rFonts w:ascii="Times New Roman" w:hAnsi="Times New Roman" w:cs="Times New Roman"/>
          <w:sz w:val="28"/>
          <w:szCs w:val="28"/>
        </w:rPr>
        <w:t xml:space="preserve"> (далее мониторинг).</w:t>
      </w:r>
    </w:p>
    <w:p w14:paraId="321C258E" w14:textId="77777777" w:rsidR="00E94288" w:rsidRDefault="00E94288" w:rsidP="00E942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8BF25FF" w14:textId="77777777" w:rsidR="00E94288" w:rsidRDefault="00E94288" w:rsidP="00E942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Количественный состав респондентов, </w:t>
      </w:r>
    </w:p>
    <w:p w14:paraId="7F0180E2" w14:textId="3382B74F" w:rsidR="00E94288" w:rsidRDefault="00E94288" w:rsidP="00E942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принявших участие в мониторинге</w:t>
      </w:r>
    </w:p>
    <w:p w14:paraId="0D5D64D8" w14:textId="77777777" w:rsidR="00E94288" w:rsidRDefault="00E94288" w:rsidP="00E942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549" w:type="dxa"/>
        <w:tblLook w:val="04A0" w:firstRow="1" w:lastRow="0" w:firstColumn="1" w:lastColumn="0" w:noHBand="0" w:noVBand="1"/>
      </w:tblPr>
      <w:tblGrid>
        <w:gridCol w:w="2972"/>
        <w:gridCol w:w="1970"/>
        <w:gridCol w:w="1635"/>
        <w:gridCol w:w="1486"/>
        <w:gridCol w:w="1486"/>
      </w:tblGrid>
      <w:tr w:rsidR="00253EC7" w:rsidRPr="00E94288" w14:paraId="2C856159" w14:textId="77777777" w:rsidTr="00253EC7">
        <w:tc>
          <w:tcPr>
            <w:tcW w:w="2972" w:type="dxa"/>
          </w:tcPr>
          <w:p w14:paraId="47A3D99C" w14:textId="34A664C3" w:rsidR="00253EC7" w:rsidRPr="00E94288" w:rsidRDefault="00253EC7" w:rsidP="00E94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288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970" w:type="dxa"/>
          </w:tcPr>
          <w:p w14:paraId="73E014FA" w14:textId="6F7032E0" w:rsidR="00253EC7" w:rsidRPr="00E94288" w:rsidRDefault="00253EC7" w:rsidP="00E94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288">
              <w:rPr>
                <w:rFonts w:ascii="Times New Roman" w:hAnsi="Times New Roman" w:cs="Times New Roman"/>
                <w:sz w:val="24"/>
                <w:szCs w:val="24"/>
              </w:rPr>
              <w:t>Количество образовательных организаций</w:t>
            </w:r>
          </w:p>
        </w:tc>
        <w:tc>
          <w:tcPr>
            <w:tcW w:w="1635" w:type="dxa"/>
          </w:tcPr>
          <w:p w14:paraId="7691BCD1" w14:textId="13D02FFE" w:rsidR="00253EC7" w:rsidRPr="00E94288" w:rsidRDefault="00253EC7" w:rsidP="00E94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486" w:type="dxa"/>
          </w:tcPr>
          <w:p w14:paraId="5005A3D2" w14:textId="79B2CD20" w:rsidR="00253EC7" w:rsidRPr="00E94288" w:rsidRDefault="00253EC7" w:rsidP="00E94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</w:t>
            </w:r>
          </w:p>
        </w:tc>
        <w:tc>
          <w:tcPr>
            <w:tcW w:w="1486" w:type="dxa"/>
          </w:tcPr>
          <w:p w14:paraId="54BE2D6E" w14:textId="6126F671" w:rsidR="00253EC7" w:rsidRPr="00E94288" w:rsidRDefault="00253EC7" w:rsidP="00E94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учителей</w:t>
            </w:r>
          </w:p>
        </w:tc>
      </w:tr>
      <w:tr w:rsidR="00253EC7" w:rsidRPr="00E94288" w14:paraId="7E21B479" w14:textId="77777777" w:rsidTr="00253EC7">
        <w:tc>
          <w:tcPr>
            <w:tcW w:w="2972" w:type="dxa"/>
          </w:tcPr>
          <w:p w14:paraId="13F4538C" w14:textId="025D458F" w:rsidR="00253EC7" w:rsidRPr="00E94288" w:rsidRDefault="00B00E76" w:rsidP="001F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Майкоп</w:t>
            </w:r>
          </w:p>
        </w:tc>
        <w:tc>
          <w:tcPr>
            <w:tcW w:w="1970" w:type="dxa"/>
          </w:tcPr>
          <w:p w14:paraId="1F35EEE3" w14:textId="1B51EFC2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5" w:type="dxa"/>
          </w:tcPr>
          <w:p w14:paraId="731A49D0" w14:textId="4EE9EC87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1486" w:type="dxa"/>
          </w:tcPr>
          <w:p w14:paraId="528E981D" w14:textId="15659B9B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486" w:type="dxa"/>
          </w:tcPr>
          <w:p w14:paraId="53DED5ED" w14:textId="4547B267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253EC7" w:rsidRPr="00E94288" w14:paraId="3FBA8BFF" w14:textId="77777777" w:rsidTr="00253EC7">
        <w:tc>
          <w:tcPr>
            <w:tcW w:w="2972" w:type="dxa"/>
          </w:tcPr>
          <w:p w14:paraId="6E15907F" w14:textId="026473D0" w:rsidR="00253EC7" w:rsidRPr="00E94288" w:rsidRDefault="00B00E76" w:rsidP="001F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Адыгейск</w:t>
            </w:r>
          </w:p>
        </w:tc>
        <w:tc>
          <w:tcPr>
            <w:tcW w:w="1970" w:type="dxa"/>
          </w:tcPr>
          <w:p w14:paraId="4C5552CB" w14:textId="6A93EE02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</w:tcPr>
          <w:p w14:paraId="00561CED" w14:textId="31A49DB2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86" w:type="dxa"/>
          </w:tcPr>
          <w:p w14:paraId="02A06826" w14:textId="7BDE55A7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86" w:type="dxa"/>
          </w:tcPr>
          <w:p w14:paraId="74A98D9F" w14:textId="6CDB3746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53EC7" w:rsidRPr="00E94288" w14:paraId="57DC6E03" w14:textId="77777777" w:rsidTr="00253EC7">
        <w:tc>
          <w:tcPr>
            <w:tcW w:w="2972" w:type="dxa"/>
          </w:tcPr>
          <w:p w14:paraId="729995FE" w14:textId="145D6823" w:rsidR="00253EC7" w:rsidRPr="00E94288" w:rsidRDefault="00B00E76" w:rsidP="001F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Гиагинский район</w:t>
            </w:r>
          </w:p>
        </w:tc>
        <w:tc>
          <w:tcPr>
            <w:tcW w:w="1970" w:type="dxa"/>
          </w:tcPr>
          <w:p w14:paraId="091C21BF" w14:textId="30E47AF5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5" w:type="dxa"/>
          </w:tcPr>
          <w:p w14:paraId="1747423A" w14:textId="1132B0D6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486" w:type="dxa"/>
          </w:tcPr>
          <w:p w14:paraId="23C47A7F" w14:textId="3EE6A48F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86" w:type="dxa"/>
          </w:tcPr>
          <w:p w14:paraId="648DFA8C" w14:textId="11D55742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253EC7" w:rsidRPr="00E94288" w14:paraId="6E5CECCD" w14:textId="77777777" w:rsidTr="00253EC7">
        <w:tc>
          <w:tcPr>
            <w:tcW w:w="2972" w:type="dxa"/>
          </w:tcPr>
          <w:p w14:paraId="3E754FF8" w14:textId="2A94A934" w:rsidR="00253EC7" w:rsidRPr="00E94288" w:rsidRDefault="00B00E76" w:rsidP="001F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Кошехабльский район</w:t>
            </w:r>
          </w:p>
        </w:tc>
        <w:tc>
          <w:tcPr>
            <w:tcW w:w="1970" w:type="dxa"/>
          </w:tcPr>
          <w:p w14:paraId="35899FA2" w14:textId="40813D04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</w:tcPr>
          <w:p w14:paraId="7BBDC8B7" w14:textId="02D9208A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6" w:type="dxa"/>
          </w:tcPr>
          <w:p w14:paraId="3AC9FD88" w14:textId="5431CA6E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86" w:type="dxa"/>
          </w:tcPr>
          <w:p w14:paraId="4947F7EE" w14:textId="659383A6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253EC7" w:rsidRPr="00E94288" w14:paraId="13241630" w14:textId="77777777" w:rsidTr="00253EC7">
        <w:tc>
          <w:tcPr>
            <w:tcW w:w="2972" w:type="dxa"/>
          </w:tcPr>
          <w:p w14:paraId="7DF5604B" w14:textId="3536A5A1" w:rsidR="00253EC7" w:rsidRPr="00E94288" w:rsidRDefault="00B00E76" w:rsidP="001F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Красногвардейский район</w:t>
            </w:r>
          </w:p>
        </w:tc>
        <w:tc>
          <w:tcPr>
            <w:tcW w:w="1970" w:type="dxa"/>
          </w:tcPr>
          <w:p w14:paraId="497C05C5" w14:textId="672E5783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5" w:type="dxa"/>
          </w:tcPr>
          <w:p w14:paraId="35F63F64" w14:textId="6C16BCA1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86" w:type="dxa"/>
          </w:tcPr>
          <w:p w14:paraId="42EABD97" w14:textId="6257B316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86" w:type="dxa"/>
          </w:tcPr>
          <w:p w14:paraId="21BF2F12" w14:textId="5842DC48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253EC7" w:rsidRPr="00E94288" w14:paraId="3087E06E" w14:textId="77777777" w:rsidTr="00253EC7">
        <w:tc>
          <w:tcPr>
            <w:tcW w:w="2972" w:type="dxa"/>
          </w:tcPr>
          <w:p w14:paraId="6A73ED67" w14:textId="0854F569" w:rsidR="00253EC7" w:rsidRPr="00E94288" w:rsidRDefault="00B00E76" w:rsidP="001F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Майкопский район</w:t>
            </w:r>
          </w:p>
        </w:tc>
        <w:tc>
          <w:tcPr>
            <w:tcW w:w="1970" w:type="dxa"/>
          </w:tcPr>
          <w:p w14:paraId="7C676A92" w14:textId="1809A9D9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</w:tcPr>
          <w:p w14:paraId="2670614C" w14:textId="5BE15989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86" w:type="dxa"/>
          </w:tcPr>
          <w:p w14:paraId="405156A2" w14:textId="2C333D83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86" w:type="dxa"/>
          </w:tcPr>
          <w:p w14:paraId="7238D65A" w14:textId="6500EC68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253EC7" w:rsidRPr="00E94288" w14:paraId="22229B42" w14:textId="77777777" w:rsidTr="00253EC7">
        <w:tc>
          <w:tcPr>
            <w:tcW w:w="2972" w:type="dxa"/>
          </w:tcPr>
          <w:p w14:paraId="67B9B6EC" w14:textId="1F3436A5" w:rsidR="00253EC7" w:rsidRPr="00E94288" w:rsidRDefault="00B00E76" w:rsidP="001F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Тахтамукайский район</w:t>
            </w:r>
          </w:p>
        </w:tc>
        <w:tc>
          <w:tcPr>
            <w:tcW w:w="1970" w:type="dxa"/>
          </w:tcPr>
          <w:p w14:paraId="5AAB6934" w14:textId="6F7A31E9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5" w:type="dxa"/>
          </w:tcPr>
          <w:p w14:paraId="7CEFD830" w14:textId="72C15E7A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</w:t>
            </w:r>
          </w:p>
        </w:tc>
        <w:tc>
          <w:tcPr>
            <w:tcW w:w="1486" w:type="dxa"/>
          </w:tcPr>
          <w:p w14:paraId="1845A3A6" w14:textId="1FE1166F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1486" w:type="dxa"/>
          </w:tcPr>
          <w:p w14:paraId="2CC0EA2C" w14:textId="08ECA2AB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253EC7" w:rsidRPr="00E94288" w14:paraId="7D08B1A9" w14:textId="77777777" w:rsidTr="00253EC7">
        <w:tc>
          <w:tcPr>
            <w:tcW w:w="2972" w:type="dxa"/>
          </w:tcPr>
          <w:p w14:paraId="24AB0579" w14:textId="22E06465" w:rsidR="00253EC7" w:rsidRPr="00E94288" w:rsidRDefault="00B00E76" w:rsidP="001F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Шовгеновский район</w:t>
            </w:r>
          </w:p>
        </w:tc>
        <w:tc>
          <w:tcPr>
            <w:tcW w:w="1970" w:type="dxa"/>
          </w:tcPr>
          <w:p w14:paraId="4FFDCC45" w14:textId="79293696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5" w:type="dxa"/>
          </w:tcPr>
          <w:p w14:paraId="569260AF" w14:textId="2C80FFAA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86" w:type="dxa"/>
          </w:tcPr>
          <w:p w14:paraId="48940FD0" w14:textId="515D8D76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86" w:type="dxa"/>
          </w:tcPr>
          <w:p w14:paraId="7A22587C" w14:textId="224FC1B3" w:rsidR="00253EC7" w:rsidRPr="00E94288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D45C6C" w:rsidRPr="00E94288" w14:paraId="346282E2" w14:textId="77777777" w:rsidTr="00253EC7">
        <w:tc>
          <w:tcPr>
            <w:tcW w:w="2972" w:type="dxa"/>
          </w:tcPr>
          <w:p w14:paraId="46D22695" w14:textId="118C8756" w:rsidR="00D45C6C" w:rsidRDefault="00D45C6C" w:rsidP="001F33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70" w:type="dxa"/>
          </w:tcPr>
          <w:p w14:paraId="071EF946" w14:textId="02E09D2E" w:rsidR="00D45C6C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35" w:type="dxa"/>
          </w:tcPr>
          <w:p w14:paraId="4A4DAF6C" w14:textId="6AE6B55A" w:rsidR="00D45C6C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1744</w:t>
            </w:r>
          </w:p>
        </w:tc>
        <w:tc>
          <w:tcPr>
            <w:tcW w:w="1486" w:type="dxa"/>
          </w:tcPr>
          <w:p w14:paraId="214F9688" w14:textId="798F43AE" w:rsidR="00D45C6C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1493</w:t>
            </w:r>
          </w:p>
        </w:tc>
        <w:tc>
          <w:tcPr>
            <w:tcW w:w="1486" w:type="dxa"/>
          </w:tcPr>
          <w:p w14:paraId="054EA026" w14:textId="72A5310D" w:rsidR="00D45C6C" w:rsidRDefault="00D45C6C" w:rsidP="00D45C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</w:tr>
    </w:tbl>
    <w:p w14:paraId="78BCE887" w14:textId="77777777" w:rsidR="00C71C61" w:rsidRDefault="00C71C61" w:rsidP="001F33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5D0D6A" w14:textId="77777777" w:rsidR="00E11E90" w:rsidRDefault="00D21ACE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Респондентам предлагалось пометить пять наиболее значимых из 10 аспектов качества образования</w:t>
      </w:r>
      <w:r w:rsidR="00E11E90">
        <w:rPr>
          <w:rFonts w:ascii="Times New Roman" w:hAnsi="Times New Roman" w:cs="Times New Roman"/>
          <w:sz w:val="28"/>
          <w:szCs w:val="28"/>
        </w:rPr>
        <w:t>.</w:t>
      </w:r>
    </w:p>
    <w:p w14:paraId="449BE1E2" w14:textId="77777777" w:rsidR="009133D2" w:rsidRDefault="00124AE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опроса определились следующие приоритеты</w:t>
      </w:r>
      <w:r w:rsidR="009133D2">
        <w:rPr>
          <w:rFonts w:ascii="Times New Roman" w:hAnsi="Times New Roman" w:cs="Times New Roman"/>
          <w:sz w:val="28"/>
          <w:szCs w:val="28"/>
        </w:rPr>
        <w:t>.</w:t>
      </w:r>
    </w:p>
    <w:p w14:paraId="0049D9BA" w14:textId="1378FC7E" w:rsidR="00124AEF" w:rsidRDefault="009133D2" w:rsidP="009133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обучающихся существенными аспектами образовательного процесса, влияющими на качество образования, определились: перегруженность </w:t>
      </w:r>
      <w:r>
        <w:rPr>
          <w:rFonts w:ascii="Times New Roman" w:hAnsi="Times New Roman" w:cs="Times New Roman"/>
          <w:sz w:val="28"/>
          <w:szCs w:val="28"/>
        </w:rPr>
        <w:lastRenderedPageBreak/>
        <w:t>домашними заданиями (62,7%), устаревшее оснащение школ (60,3%), слишком много контрольных работ (51,4%), плохое питание (39,2%), недостаток площадей для осуществления образовательного процесса</w:t>
      </w:r>
      <w:r w:rsidR="00494835">
        <w:rPr>
          <w:rFonts w:ascii="Times New Roman" w:hAnsi="Times New Roman" w:cs="Times New Roman"/>
          <w:sz w:val="28"/>
          <w:szCs w:val="28"/>
        </w:rPr>
        <w:t xml:space="preserve">, и, как </w:t>
      </w:r>
      <w:r w:rsidR="005E676A">
        <w:rPr>
          <w:rFonts w:ascii="Times New Roman" w:hAnsi="Times New Roman" w:cs="Times New Roman"/>
          <w:sz w:val="28"/>
          <w:szCs w:val="28"/>
        </w:rPr>
        <w:t>следствие обучение</w:t>
      </w:r>
      <w:r w:rsidR="00494835">
        <w:rPr>
          <w:rFonts w:ascii="Times New Roman" w:hAnsi="Times New Roman" w:cs="Times New Roman"/>
          <w:sz w:val="28"/>
          <w:szCs w:val="28"/>
        </w:rPr>
        <w:t xml:space="preserve"> в две смены (36,6%).</w:t>
      </w:r>
      <w:r w:rsidR="00124A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BA9DF6" w14:textId="77777777" w:rsidR="00124AEF" w:rsidRDefault="00124AE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EB0451" w14:textId="072F6E2F" w:rsidR="00D21ACE" w:rsidRDefault="00124AE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A2B9F2" wp14:editId="0A20D8A2">
            <wp:extent cx="5343277" cy="2337684"/>
            <wp:effectExtent l="0" t="0" r="10160" b="571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AAB16B9-CC32-78FD-9D8A-81701F3FBA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D21A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265F7A" w14:textId="21C1C9F0" w:rsidR="00D21ACE" w:rsidRDefault="00D21ACE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6CC5C5" w14:textId="0C73478F" w:rsidR="00494835" w:rsidRDefault="00494835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</w:t>
      </w:r>
      <w:r w:rsidR="005E676A">
        <w:rPr>
          <w:rFonts w:ascii="Times New Roman" w:hAnsi="Times New Roman" w:cs="Times New Roman"/>
          <w:sz w:val="28"/>
          <w:szCs w:val="28"/>
        </w:rPr>
        <w:t xml:space="preserve">дители, </w:t>
      </w:r>
      <w:r w:rsidR="00387034">
        <w:rPr>
          <w:rFonts w:ascii="Times New Roman" w:hAnsi="Times New Roman" w:cs="Times New Roman"/>
          <w:sz w:val="28"/>
          <w:szCs w:val="28"/>
        </w:rPr>
        <w:t xml:space="preserve">отметили схожие с обучающимися аспекты, </w:t>
      </w:r>
      <w:r w:rsidR="006A563B">
        <w:rPr>
          <w:rFonts w:ascii="Times New Roman" w:hAnsi="Times New Roman" w:cs="Times New Roman"/>
          <w:sz w:val="28"/>
          <w:szCs w:val="28"/>
        </w:rPr>
        <w:t>являющиеся, по их мнению,</w:t>
      </w:r>
      <w:r w:rsidR="00387034">
        <w:rPr>
          <w:rFonts w:ascii="Times New Roman" w:hAnsi="Times New Roman" w:cs="Times New Roman"/>
          <w:sz w:val="28"/>
          <w:szCs w:val="28"/>
        </w:rPr>
        <w:t xml:space="preserve"> значительными для качества образования: устаревшее оснащение школ (61,2%); перегруженность домашними заданиями (58,7%); отсутствие интернета и доступа к электронным образовательным ресурсам в школе (54,9%); слишком много контрольных работ (44,3%); отсутствие индиви</w:t>
      </w:r>
      <w:r w:rsidR="006A563B">
        <w:rPr>
          <w:rFonts w:ascii="Times New Roman" w:hAnsi="Times New Roman" w:cs="Times New Roman"/>
          <w:sz w:val="28"/>
          <w:szCs w:val="28"/>
        </w:rPr>
        <w:t>дуальных образовательных траекторий (33,7%).</w:t>
      </w:r>
    </w:p>
    <w:p w14:paraId="3D8CFA96" w14:textId="2218FB9D" w:rsidR="00235007" w:rsidRDefault="00235007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их мнение скорее все повлиял опыт дистанционного формата обучения, когда приходилось вместе с детьми осваивать электронные образовательные ресурсы, а также абсолютная необходимость в индивидуальных образовательных траекториях при разной образовательной подготовке обучающихся.</w:t>
      </w:r>
    </w:p>
    <w:p w14:paraId="6D1B0971" w14:textId="77777777" w:rsidR="006A563B" w:rsidRDefault="006A563B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20533A" w14:textId="7E4BB883" w:rsidR="00D21ACE" w:rsidRDefault="00124AE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F276A5" wp14:editId="25677153">
            <wp:extent cx="5478449" cy="2647315"/>
            <wp:effectExtent l="0" t="0" r="8255" b="63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84010AAC-1DA2-E14E-E047-ED0919F4AF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451DB44" w14:textId="77777777" w:rsidR="00124AEF" w:rsidRDefault="00124AE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DEA4EC" w14:textId="77777777" w:rsidR="00124AEF" w:rsidRDefault="00124AE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A4B630" w14:textId="77777777" w:rsidR="00124AEF" w:rsidRDefault="00124AE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8C22AB" w14:textId="5B3BB1B6" w:rsidR="00124AEF" w:rsidRDefault="004D6831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учителей наиболее существенными оказались их собственные проблемы в организации учительского труда и </w:t>
      </w:r>
      <w:r w:rsidR="00A75A07">
        <w:rPr>
          <w:rFonts w:ascii="Times New Roman" w:hAnsi="Times New Roman" w:cs="Times New Roman"/>
          <w:sz w:val="28"/>
          <w:szCs w:val="28"/>
        </w:rPr>
        <w:t xml:space="preserve">его оплаты: перегруженность </w:t>
      </w:r>
      <w:r w:rsidR="008B3A4E">
        <w:rPr>
          <w:rFonts w:ascii="Times New Roman" w:hAnsi="Times New Roman" w:cs="Times New Roman"/>
          <w:sz w:val="28"/>
          <w:szCs w:val="28"/>
        </w:rPr>
        <w:t xml:space="preserve">педагогов различными мероприятиями и проектами, не относящимися к образовательной программе (78,7%); низкая оплата труда (70,9%); низкий уровень мотивации к обучению у подрастающего поколения (69,7%); высокая документарная нагрузка педагогов (68,1%); </w:t>
      </w:r>
      <w:r w:rsidR="003C5623">
        <w:rPr>
          <w:rFonts w:ascii="Times New Roman" w:hAnsi="Times New Roman" w:cs="Times New Roman"/>
          <w:sz w:val="28"/>
          <w:szCs w:val="28"/>
        </w:rPr>
        <w:t>большое количество неоплачиваемой работы у педагогов (47,2%).</w:t>
      </w:r>
    </w:p>
    <w:p w14:paraId="6D80B6E7" w14:textId="77777777" w:rsidR="00124AEF" w:rsidRDefault="00124AE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A717FA" w14:textId="2BC1A84E" w:rsidR="00124AEF" w:rsidRDefault="00124AE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272B5" wp14:editId="333E2652">
            <wp:extent cx="5271715" cy="3222625"/>
            <wp:effectExtent l="0" t="0" r="5715" b="1587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2B3B2DBC-1F60-7335-41B3-4D49576480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022B0ED" w14:textId="77777777" w:rsidR="00124AEF" w:rsidRDefault="00124AE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433383" w14:textId="77777777" w:rsidR="00A20F5A" w:rsidRDefault="0035568B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Мнения респондентов совпадают по двум аспектам: </w:t>
      </w:r>
    </w:p>
    <w:p w14:paraId="32E38009" w14:textId="2E95B09D" w:rsidR="006A1E0F" w:rsidRDefault="00A20F5A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568B">
        <w:rPr>
          <w:rFonts w:ascii="Times New Roman" w:hAnsi="Times New Roman" w:cs="Times New Roman"/>
          <w:sz w:val="28"/>
          <w:szCs w:val="28"/>
        </w:rPr>
        <w:t>устаревшее оснащение школ (</w:t>
      </w:r>
      <w:r>
        <w:rPr>
          <w:rFonts w:ascii="Times New Roman" w:hAnsi="Times New Roman" w:cs="Times New Roman"/>
          <w:sz w:val="28"/>
          <w:szCs w:val="28"/>
        </w:rPr>
        <w:t>61,2% родителей, 60,3% обучающихся, 46,4% учителей);</w:t>
      </w:r>
    </w:p>
    <w:p w14:paraId="3FA54BC8" w14:textId="7710A342" w:rsidR="00A20F5A" w:rsidRDefault="00A20F5A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недостаток площадей для осуществления образовательного процесса и как следствие </w:t>
      </w:r>
      <w:r w:rsidR="006E20E3">
        <w:rPr>
          <w:rFonts w:ascii="Times New Roman" w:hAnsi="Times New Roman" w:cs="Times New Roman"/>
          <w:sz w:val="28"/>
          <w:szCs w:val="28"/>
        </w:rPr>
        <w:t>обучение в две смены (36,6% обучающихся; 31,7% родителей; 29,7% учителей).</w:t>
      </w:r>
    </w:p>
    <w:p w14:paraId="10F809D8" w14:textId="591EBE84" w:rsidR="00A20F5A" w:rsidRDefault="006E20E3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Несомненно, для руководителей и организаторов образовательного процесса в школах, обучающиеся, родители и педагоги которых приняли участие в анкетировании, значимыми аспектами для организации образ</w:t>
      </w:r>
      <w:r w:rsidR="00510733">
        <w:rPr>
          <w:rFonts w:ascii="Times New Roman" w:hAnsi="Times New Roman" w:cs="Times New Roman"/>
          <w:sz w:val="28"/>
          <w:szCs w:val="28"/>
        </w:rPr>
        <w:t>овательной деятельности, которые</w:t>
      </w:r>
      <w:r>
        <w:rPr>
          <w:rFonts w:ascii="Times New Roman" w:hAnsi="Times New Roman" w:cs="Times New Roman"/>
          <w:sz w:val="28"/>
          <w:szCs w:val="28"/>
        </w:rPr>
        <w:t xml:space="preserve"> единодушно отметили </w:t>
      </w:r>
      <w:r w:rsidR="00385445">
        <w:rPr>
          <w:rFonts w:ascii="Times New Roman" w:hAnsi="Times New Roman" w:cs="Times New Roman"/>
          <w:sz w:val="28"/>
          <w:szCs w:val="28"/>
        </w:rPr>
        <w:t>обучающиеся и родители, являются:</w:t>
      </w:r>
    </w:p>
    <w:p w14:paraId="567B1083" w14:textId="3A4C7451" w:rsidR="00385445" w:rsidRDefault="00385445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перегруженность домашними заданиями (62,7% обучающихся, 58,7% родителей);</w:t>
      </w:r>
    </w:p>
    <w:p w14:paraId="0B7FA0E7" w14:textId="38A42CBB" w:rsidR="00385445" w:rsidRDefault="00385445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слишком много контрольных работ (51,4% обучающихся; 44,3% родителей).</w:t>
      </w:r>
    </w:p>
    <w:p w14:paraId="1CA9B5BF" w14:textId="77777777" w:rsidR="00321FFF" w:rsidRDefault="00321FF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8106A5" w14:textId="7B43F10B" w:rsidR="006A1E0F" w:rsidRDefault="006A1E0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8332F8" wp14:editId="3383D6E2">
            <wp:extent cx="5224007" cy="3458818"/>
            <wp:effectExtent l="0" t="0" r="15240" b="889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30819E98-8A85-28D7-BED5-B87938436C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49A3FB4" w14:textId="77777777" w:rsidR="006A1E0F" w:rsidRDefault="006A1E0F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F3F8D4" w14:textId="6FF59EE0" w:rsidR="006A1E0F" w:rsidRDefault="00AF2FBE" w:rsidP="00B15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Руководителям и организаторам образовательного процесса в школах, обучающиеся, родители и педагоги которых приняли участие в анкетировании, необходимо:</w:t>
      </w:r>
    </w:p>
    <w:p w14:paraId="2CB3D8AF" w14:textId="0A8C86C5" w:rsidR="00AD3176" w:rsidRPr="00AD3176" w:rsidRDefault="00DF61CF" w:rsidP="007941D8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176">
        <w:rPr>
          <w:rFonts w:ascii="Times New Roman" w:hAnsi="Times New Roman" w:cs="Times New Roman"/>
          <w:sz w:val="28"/>
          <w:szCs w:val="28"/>
        </w:rPr>
        <w:t>оптимизировать количество контрольных работ в соответствии с рекомендациями</w:t>
      </w:r>
      <w:r w:rsidR="00AD3176" w:rsidRPr="00AD3176">
        <w:rPr>
          <w:rFonts w:ascii="Times New Roman" w:hAnsi="Times New Roman" w:cs="Times New Roman"/>
          <w:sz w:val="28"/>
          <w:szCs w:val="28"/>
        </w:rPr>
        <w:t xml:space="preserve">, направленными письмом </w:t>
      </w:r>
      <w:proofErr w:type="spellStart"/>
      <w:r w:rsidR="00AD3176" w:rsidRPr="00AD3176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AD3176" w:rsidRPr="00AD3176">
        <w:rPr>
          <w:rFonts w:ascii="Times New Roman" w:hAnsi="Times New Roman" w:cs="Times New Roman"/>
          <w:sz w:val="28"/>
          <w:szCs w:val="28"/>
        </w:rPr>
        <w:t xml:space="preserve"> России и Рособрнадзора от 06.08.2021 № СК-228/03, №01-169/08-01</w:t>
      </w:r>
      <w:r w:rsidR="00AD3176">
        <w:rPr>
          <w:rFonts w:ascii="Times New Roman" w:hAnsi="Times New Roman" w:cs="Times New Roman"/>
          <w:sz w:val="28"/>
          <w:szCs w:val="28"/>
        </w:rPr>
        <w:t>;</w:t>
      </w:r>
    </w:p>
    <w:p w14:paraId="6CE5AA5E" w14:textId="150BB1C4" w:rsidR="00DF61CF" w:rsidRDefault="003C1F96" w:rsidP="007941D8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541">
        <w:rPr>
          <w:rFonts w:ascii="Times New Roman" w:hAnsi="Times New Roman" w:cs="Times New Roman"/>
          <w:sz w:val="28"/>
          <w:szCs w:val="28"/>
        </w:rPr>
        <w:t>актуализировать рабочие образовательные программы в части самостоятельных и домашних работ</w:t>
      </w:r>
      <w:r w:rsidR="007D2541" w:rsidRPr="007D2541">
        <w:rPr>
          <w:rFonts w:ascii="Times New Roman" w:hAnsi="Times New Roman" w:cs="Times New Roman"/>
          <w:sz w:val="28"/>
          <w:szCs w:val="28"/>
        </w:rPr>
        <w:t xml:space="preserve"> </w:t>
      </w:r>
      <w:r w:rsidR="00791A98" w:rsidRPr="007D2541">
        <w:rPr>
          <w:rFonts w:ascii="Times New Roman" w:hAnsi="Times New Roman" w:cs="Times New Roman"/>
          <w:sz w:val="28"/>
          <w:szCs w:val="28"/>
        </w:rPr>
        <w:t>на предмет эффективности их количества</w:t>
      </w:r>
      <w:r w:rsidR="007D2541" w:rsidRPr="007D2541">
        <w:rPr>
          <w:rFonts w:ascii="Times New Roman" w:hAnsi="Times New Roman" w:cs="Times New Roman"/>
          <w:sz w:val="28"/>
          <w:szCs w:val="28"/>
        </w:rPr>
        <w:t>;</w:t>
      </w:r>
    </w:p>
    <w:p w14:paraId="7CAF6F56" w14:textId="714F2CDA" w:rsidR="007D2541" w:rsidRDefault="007D2541" w:rsidP="007941D8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541">
        <w:rPr>
          <w:rFonts w:ascii="Times New Roman" w:hAnsi="Times New Roman" w:cs="Times New Roman"/>
          <w:sz w:val="28"/>
          <w:szCs w:val="28"/>
        </w:rPr>
        <w:t xml:space="preserve">привести функции педагогических работников в соответствие с профессиональным стандартом «Педагог </w:t>
      </w:r>
      <w:r w:rsidRPr="007D2541">
        <w:rPr>
          <w:rFonts w:ascii="Times New Roman" w:eastAsia="Times New Roman" w:hAnsi="Times New Roman" w:cs="Times New Roman"/>
          <w:color w:val="22272F"/>
          <w:kern w:val="36"/>
          <w:sz w:val="28"/>
          <w:szCs w:val="28"/>
          <w:lang w:eastAsia="ru-RU"/>
        </w:rPr>
        <w:t>(педагогическая деятельность в сфере дошкольного, начального общего, основного общего, среднего общего образования) (воспитатель, учитель)</w:t>
      </w:r>
      <w:r>
        <w:rPr>
          <w:rFonts w:ascii="Times New Roman" w:eastAsia="Times New Roman" w:hAnsi="Times New Roman" w:cs="Times New Roman"/>
          <w:color w:val="22272F"/>
          <w:kern w:val="36"/>
          <w:sz w:val="28"/>
          <w:szCs w:val="28"/>
          <w:lang w:eastAsia="ru-RU"/>
        </w:rPr>
        <w:t>», утвержденным п</w:t>
      </w:r>
      <w:r w:rsidRPr="007D2541">
        <w:rPr>
          <w:rFonts w:ascii="Times New Roman" w:eastAsia="Times New Roman" w:hAnsi="Times New Roman" w:cs="Times New Roman"/>
          <w:color w:val="22272F"/>
          <w:kern w:val="36"/>
          <w:sz w:val="28"/>
          <w:szCs w:val="28"/>
          <w:lang w:eastAsia="ru-RU"/>
        </w:rPr>
        <w:t>риказ</w:t>
      </w:r>
      <w:r>
        <w:rPr>
          <w:rFonts w:ascii="Times New Roman" w:eastAsia="Times New Roman" w:hAnsi="Times New Roman" w:cs="Times New Roman"/>
          <w:color w:val="22272F"/>
          <w:kern w:val="36"/>
          <w:sz w:val="28"/>
          <w:szCs w:val="28"/>
          <w:lang w:eastAsia="ru-RU"/>
        </w:rPr>
        <w:t>ом</w:t>
      </w:r>
      <w:r w:rsidRPr="007D2541">
        <w:rPr>
          <w:rFonts w:ascii="Times New Roman" w:eastAsia="Times New Roman" w:hAnsi="Times New Roman" w:cs="Times New Roman"/>
          <w:color w:val="22272F"/>
          <w:kern w:val="36"/>
          <w:sz w:val="28"/>
          <w:szCs w:val="28"/>
          <w:lang w:eastAsia="ru-RU"/>
        </w:rPr>
        <w:t xml:space="preserve"> Министерства труда и социальной защиты РФ от 18 октября 2013 г. N 544н</w:t>
      </w:r>
      <w:r>
        <w:rPr>
          <w:rFonts w:ascii="Times New Roman" w:eastAsia="Times New Roman" w:hAnsi="Times New Roman" w:cs="Times New Roman"/>
          <w:color w:val="22272F"/>
          <w:kern w:val="36"/>
          <w:sz w:val="28"/>
          <w:szCs w:val="28"/>
          <w:lang w:eastAsia="ru-RU"/>
        </w:rPr>
        <w:t>.</w:t>
      </w:r>
    </w:p>
    <w:p w14:paraId="0E393664" w14:textId="18ACD76A" w:rsidR="007D2541" w:rsidRDefault="007D2541" w:rsidP="007D2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D0A9B7" w14:textId="77777777" w:rsidR="007D2541" w:rsidRPr="007D2541" w:rsidRDefault="007D2541" w:rsidP="007D2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788DF5" w14:textId="39443D90" w:rsidR="003C1F96" w:rsidRPr="003C1F96" w:rsidRDefault="007D2541" w:rsidP="007D2541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C1F96" w:rsidRPr="003C1F96" w:rsidSect="00124AEF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0E9C9" w14:textId="77777777" w:rsidR="00124AEF" w:rsidRDefault="00124AEF" w:rsidP="00124AEF">
      <w:pPr>
        <w:spacing w:after="0" w:line="240" w:lineRule="auto"/>
      </w:pPr>
      <w:r>
        <w:separator/>
      </w:r>
    </w:p>
  </w:endnote>
  <w:endnote w:type="continuationSeparator" w:id="0">
    <w:p w14:paraId="244C4EED" w14:textId="77777777" w:rsidR="00124AEF" w:rsidRDefault="00124AEF" w:rsidP="0012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D9D49" w14:textId="77777777" w:rsidR="00124AEF" w:rsidRDefault="00124AEF" w:rsidP="00124AEF">
      <w:pPr>
        <w:spacing w:after="0" w:line="240" w:lineRule="auto"/>
      </w:pPr>
      <w:r>
        <w:separator/>
      </w:r>
    </w:p>
  </w:footnote>
  <w:footnote w:type="continuationSeparator" w:id="0">
    <w:p w14:paraId="328E508C" w14:textId="77777777" w:rsidR="00124AEF" w:rsidRDefault="00124AEF" w:rsidP="0012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3698896"/>
      <w:docPartObj>
        <w:docPartGallery w:val="Page Numbers (Top of Page)"/>
        <w:docPartUnique/>
      </w:docPartObj>
    </w:sdtPr>
    <w:sdtEndPr/>
    <w:sdtContent>
      <w:p w14:paraId="12B55C69" w14:textId="6644346E" w:rsidR="00124AEF" w:rsidRDefault="00124AE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A98">
          <w:rPr>
            <w:noProof/>
          </w:rPr>
          <w:t>4</w:t>
        </w:r>
        <w:r>
          <w:fldChar w:fldCharType="end"/>
        </w:r>
      </w:p>
    </w:sdtContent>
  </w:sdt>
  <w:p w14:paraId="0FB35A00" w14:textId="77777777" w:rsidR="00124AEF" w:rsidRDefault="00124AE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C10A8"/>
    <w:multiLevelType w:val="hybridMultilevel"/>
    <w:tmpl w:val="E5CEBC3A"/>
    <w:lvl w:ilvl="0" w:tplc="C5D2B3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766683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043"/>
    <w:rsid w:val="00124AEF"/>
    <w:rsid w:val="00135DD2"/>
    <w:rsid w:val="001F33D0"/>
    <w:rsid w:val="00235007"/>
    <w:rsid w:val="00253EC7"/>
    <w:rsid w:val="00321FFF"/>
    <w:rsid w:val="0035568B"/>
    <w:rsid w:val="00385445"/>
    <w:rsid w:val="00387034"/>
    <w:rsid w:val="003C1F96"/>
    <w:rsid w:val="003C5623"/>
    <w:rsid w:val="00494835"/>
    <w:rsid w:val="004D06DB"/>
    <w:rsid w:val="004D6831"/>
    <w:rsid w:val="00510733"/>
    <w:rsid w:val="005572DD"/>
    <w:rsid w:val="005E676A"/>
    <w:rsid w:val="006A1E0F"/>
    <w:rsid w:val="006A563B"/>
    <w:rsid w:val="006D62CC"/>
    <w:rsid w:val="006E20E3"/>
    <w:rsid w:val="00791A98"/>
    <w:rsid w:val="007D2541"/>
    <w:rsid w:val="008038C6"/>
    <w:rsid w:val="008B3A4E"/>
    <w:rsid w:val="009133D2"/>
    <w:rsid w:val="009B225B"/>
    <w:rsid w:val="00A20F5A"/>
    <w:rsid w:val="00A75A07"/>
    <w:rsid w:val="00A86DA9"/>
    <w:rsid w:val="00AD3176"/>
    <w:rsid w:val="00AF2FBE"/>
    <w:rsid w:val="00B00E76"/>
    <w:rsid w:val="00B15043"/>
    <w:rsid w:val="00BE6BCC"/>
    <w:rsid w:val="00C101A1"/>
    <w:rsid w:val="00C71C61"/>
    <w:rsid w:val="00CD5CA5"/>
    <w:rsid w:val="00D11F6B"/>
    <w:rsid w:val="00D21ACE"/>
    <w:rsid w:val="00D45C6C"/>
    <w:rsid w:val="00DF61CF"/>
    <w:rsid w:val="00E11E90"/>
    <w:rsid w:val="00E9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B7A9C"/>
  <w15:chartTrackingRefBased/>
  <w15:docId w15:val="{7C5496DA-E396-4A90-85A5-9AE702CF0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4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24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4AEF"/>
  </w:style>
  <w:style w:type="paragraph" w:styleId="a6">
    <w:name w:val="footer"/>
    <w:basedOn w:val="a"/>
    <w:link w:val="a7"/>
    <w:uiPriority w:val="99"/>
    <w:unhideWhenUsed/>
    <w:rsid w:val="00124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4AEF"/>
  </w:style>
  <w:style w:type="paragraph" w:styleId="a8">
    <w:name w:val="List Paragraph"/>
    <w:basedOn w:val="a"/>
    <w:uiPriority w:val="34"/>
    <w:qFormat/>
    <w:rsid w:val="00DF6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0" i="0" kern="1200" spc="0" baseline="0">
                <a:solidFill>
                  <a:srgbClr val="595959"/>
                </a:solidFill>
                <a:effectLst/>
                <a:latin typeface="Calibri" panose="020F0502020204030204" pitchFamily="34" charset="0"/>
              </a:rPr>
              <a:t>Оценка удовлетворенности качеством образования участников образовательных отношений: </a:t>
            </a:r>
            <a:r>
              <a:rPr lang="ru-RU" sz="900" b="1" i="0" kern="1200" spc="0" baseline="0">
                <a:solidFill>
                  <a:srgbClr val="595959"/>
                </a:solidFill>
                <a:effectLst/>
                <a:latin typeface="Calibri" panose="020F0502020204030204" pitchFamily="34" charset="0"/>
              </a:rPr>
              <a:t>проблемы беспокоящие обучающихся</a:t>
            </a:r>
            <a:endParaRPr lang="ru-RU" sz="9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6">
                  <a:tint val="35000"/>
                </a:schemeClr>
              </a:fgClr>
              <a:bgClr>
                <a:schemeClr val="accent6">
                  <a:tint val="3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35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обучающиеся'!$B$7:$B$16</c:f>
            </c:numRef>
          </c:val>
          <c:extLst>
            <c:ext xmlns:c16="http://schemas.microsoft.com/office/drawing/2014/chart" uri="{C3380CC4-5D6E-409C-BE32-E72D297353CC}">
              <c16:uniqueId val="{00000000-9F43-4E1C-BF40-7D09F772B98E}"/>
            </c:ext>
          </c:extLst>
        </c:ser>
        <c:ser>
          <c:idx val="1"/>
          <c:order val="1"/>
          <c:spPr>
            <a:pattFill prst="narVert">
              <a:fgClr>
                <a:schemeClr val="accent6">
                  <a:tint val="39000"/>
                </a:schemeClr>
              </a:fgClr>
              <a:bgClr>
                <a:schemeClr val="accent6">
                  <a:tint val="39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39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обучающиеся'!$C$7:$C$16</c:f>
            </c:numRef>
          </c:val>
          <c:extLst>
            <c:ext xmlns:c16="http://schemas.microsoft.com/office/drawing/2014/chart" uri="{C3380CC4-5D6E-409C-BE32-E72D297353CC}">
              <c16:uniqueId val="{00000001-9F43-4E1C-BF40-7D09F772B98E}"/>
            </c:ext>
          </c:extLst>
        </c:ser>
        <c:ser>
          <c:idx val="2"/>
          <c:order val="2"/>
          <c:spPr>
            <a:pattFill prst="narVert">
              <a:fgClr>
                <a:schemeClr val="accent6">
                  <a:tint val="43000"/>
                </a:schemeClr>
              </a:fgClr>
              <a:bgClr>
                <a:schemeClr val="accent6">
                  <a:tint val="43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43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обучающиеся'!$D$7:$D$16</c:f>
            </c:numRef>
          </c:val>
          <c:extLst>
            <c:ext xmlns:c16="http://schemas.microsoft.com/office/drawing/2014/chart" uri="{C3380CC4-5D6E-409C-BE32-E72D297353CC}">
              <c16:uniqueId val="{00000002-9F43-4E1C-BF40-7D09F772B98E}"/>
            </c:ext>
          </c:extLst>
        </c:ser>
        <c:ser>
          <c:idx val="3"/>
          <c:order val="3"/>
          <c:spPr>
            <a:pattFill prst="narVert">
              <a:fgClr>
                <a:schemeClr val="accent6">
                  <a:tint val="47000"/>
                </a:schemeClr>
              </a:fgClr>
              <a:bgClr>
                <a:schemeClr val="accent6">
                  <a:tint val="47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47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обучающиеся'!$E$7:$E$16</c:f>
            </c:numRef>
          </c:val>
          <c:extLst>
            <c:ext xmlns:c16="http://schemas.microsoft.com/office/drawing/2014/chart" uri="{C3380CC4-5D6E-409C-BE32-E72D297353CC}">
              <c16:uniqueId val="{00000003-9F43-4E1C-BF40-7D09F772B98E}"/>
            </c:ext>
          </c:extLst>
        </c:ser>
        <c:ser>
          <c:idx val="4"/>
          <c:order val="4"/>
          <c:spPr>
            <a:pattFill prst="narVert">
              <a:fgClr>
                <a:schemeClr val="accent6">
                  <a:tint val="51000"/>
                </a:schemeClr>
              </a:fgClr>
              <a:bgClr>
                <a:schemeClr val="accent6">
                  <a:tint val="51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51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обучающиеся'!$F$7:$F$16</c:f>
            </c:numRef>
          </c:val>
          <c:extLst>
            <c:ext xmlns:c16="http://schemas.microsoft.com/office/drawing/2014/chart" uri="{C3380CC4-5D6E-409C-BE32-E72D297353CC}">
              <c16:uniqueId val="{00000004-9F43-4E1C-BF40-7D09F772B98E}"/>
            </c:ext>
          </c:extLst>
        </c:ser>
        <c:ser>
          <c:idx val="5"/>
          <c:order val="5"/>
          <c:spPr>
            <a:pattFill prst="narVert">
              <a:fgClr>
                <a:schemeClr val="accent6">
                  <a:tint val="55000"/>
                </a:schemeClr>
              </a:fgClr>
              <a:bgClr>
                <a:schemeClr val="accent6">
                  <a:tint val="5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55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обучающиеся'!$G$7:$G$16</c:f>
            </c:numRef>
          </c:val>
          <c:extLst>
            <c:ext xmlns:c16="http://schemas.microsoft.com/office/drawing/2014/chart" uri="{C3380CC4-5D6E-409C-BE32-E72D297353CC}">
              <c16:uniqueId val="{00000005-9F43-4E1C-BF40-7D09F772B98E}"/>
            </c:ext>
          </c:extLst>
        </c:ser>
        <c:ser>
          <c:idx val="6"/>
          <c:order val="6"/>
          <c:spPr>
            <a:pattFill prst="narVert">
              <a:fgClr>
                <a:schemeClr val="accent6">
                  <a:tint val="59000"/>
                </a:schemeClr>
              </a:fgClr>
              <a:bgClr>
                <a:schemeClr val="accent6">
                  <a:tint val="59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59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обучающиеся'!$H$7:$H$16</c:f>
            </c:numRef>
          </c:val>
          <c:extLst>
            <c:ext xmlns:c16="http://schemas.microsoft.com/office/drawing/2014/chart" uri="{C3380CC4-5D6E-409C-BE32-E72D297353CC}">
              <c16:uniqueId val="{00000006-9F43-4E1C-BF40-7D09F772B98E}"/>
            </c:ext>
          </c:extLst>
        </c:ser>
        <c:ser>
          <c:idx val="7"/>
          <c:order val="7"/>
          <c:spPr>
            <a:pattFill prst="narVert">
              <a:fgClr>
                <a:schemeClr val="accent6">
                  <a:tint val="63000"/>
                </a:schemeClr>
              </a:fgClr>
              <a:bgClr>
                <a:schemeClr val="accent6">
                  <a:tint val="63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63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обучающиеся'!$I$7:$I$16</c:f>
            </c:numRef>
          </c:val>
          <c:extLst>
            <c:ext xmlns:c16="http://schemas.microsoft.com/office/drawing/2014/chart" uri="{C3380CC4-5D6E-409C-BE32-E72D297353CC}">
              <c16:uniqueId val="{00000007-9F43-4E1C-BF40-7D09F772B98E}"/>
            </c:ext>
          </c:extLst>
        </c:ser>
        <c:ser>
          <c:idx val="8"/>
          <c:order val="8"/>
          <c:spPr>
            <a:pattFill prst="narVert">
              <a:fgClr>
                <a:schemeClr val="accent6">
                  <a:tint val="68000"/>
                </a:schemeClr>
              </a:fgClr>
              <a:bgClr>
                <a:schemeClr val="accent6">
                  <a:tint val="68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68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обучающиеся'!$J$7:$J$16</c:f>
            </c:numRef>
          </c:val>
          <c:extLst>
            <c:ext xmlns:c16="http://schemas.microsoft.com/office/drawing/2014/chart" uri="{C3380CC4-5D6E-409C-BE32-E72D297353CC}">
              <c16:uniqueId val="{00000008-9F43-4E1C-BF40-7D09F772B98E}"/>
            </c:ext>
          </c:extLst>
        </c:ser>
        <c:ser>
          <c:idx val="9"/>
          <c:order val="9"/>
          <c:spPr>
            <a:pattFill prst="narVert">
              <a:fgClr>
                <a:schemeClr val="accent6">
                  <a:tint val="72000"/>
                </a:schemeClr>
              </a:fgClr>
              <a:bgClr>
                <a:schemeClr val="accent6">
                  <a:tint val="72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72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обучающиеся'!$K$7:$K$16</c:f>
            </c:numRef>
          </c:val>
          <c:extLst>
            <c:ext xmlns:c16="http://schemas.microsoft.com/office/drawing/2014/chart" uri="{C3380CC4-5D6E-409C-BE32-E72D297353CC}">
              <c16:uniqueId val="{00000009-9F43-4E1C-BF40-7D09F772B98E}"/>
            </c:ext>
          </c:extLst>
        </c:ser>
        <c:ser>
          <c:idx val="10"/>
          <c:order val="10"/>
          <c:spPr>
            <a:pattFill prst="narVert">
              <a:fgClr>
                <a:schemeClr val="accent6">
                  <a:tint val="76000"/>
                </a:schemeClr>
              </a:fgClr>
              <a:bgClr>
                <a:schemeClr val="accent6">
                  <a:tint val="76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76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обучающиеся'!$L$7:$L$16</c:f>
            </c:numRef>
          </c:val>
          <c:extLst>
            <c:ext xmlns:c16="http://schemas.microsoft.com/office/drawing/2014/chart" uri="{C3380CC4-5D6E-409C-BE32-E72D297353CC}">
              <c16:uniqueId val="{0000000A-9F43-4E1C-BF40-7D09F772B98E}"/>
            </c:ext>
          </c:extLst>
        </c:ser>
        <c:ser>
          <c:idx val="11"/>
          <c:order val="11"/>
          <c:spPr>
            <a:pattFill prst="narVert">
              <a:fgClr>
                <a:schemeClr val="accent6">
                  <a:tint val="80000"/>
                </a:schemeClr>
              </a:fgClr>
              <a:bgClr>
                <a:schemeClr val="accent6">
                  <a:tint val="8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80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обучающиеся'!$M$7:$M$16</c:f>
            </c:numRef>
          </c:val>
          <c:extLst>
            <c:ext xmlns:c16="http://schemas.microsoft.com/office/drawing/2014/chart" uri="{C3380CC4-5D6E-409C-BE32-E72D297353CC}">
              <c16:uniqueId val="{0000000B-9F43-4E1C-BF40-7D09F772B98E}"/>
            </c:ext>
          </c:extLst>
        </c:ser>
        <c:ser>
          <c:idx val="12"/>
          <c:order val="12"/>
          <c:spPr>
            <a:pattFill prst="narVert">
              <a:fgClr>
                <a:schemeClr val="accent6">
                  <a:tint val="84000"/>
                </a:schemeClr>
              </a:fgClr>
              <a:bgClr>
                <a:schemeClr val="accent6">
                  <a:tint val="84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84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обучающиеся'!$N$7:$N$16</c:f>
            </c:numRef>
          </c:val>
          <c:extLst>
            <c:ext xmlns:c16="http://schemas.microsoft.com/office/drawing/2014/chart" uri="{C3380CC4-5D6E-409C-BE32-E72D297353CC}">
              <c16:uniqueId val="{0000000C-9F43-4E1C-BF40-7D09F772B98E}"/>
            </c:ext>
          </c:extLst>
        </c:ser>
        <c:ser>
          <c:idx val="13"/>
          <c:order val="13"/>
          <c:spPr>
            <a:pattFill prst="narVert">
              <a:fgClr>
                <a:schemeClr val="accent6">
                  <a:tint val="88000"/>
                </a:schemeClr>
              </a:fgClr>
              <a:bgClr>
                <a:schemeClr val="accent6">
                  <a:tint val="88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88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обучающиеся'!$O$7:$O$16</c:f>
            </c:numRef>
          </c:val>
          <c:extLst>
            <c:ext xmlns:c16="http://schemas.microsoft.com/office/drawing/2014/chart" uri="{C3380CC4-5D6E-409C-BE32-E72D297353CC}">
              <c16:uniqueId val="{0000000D-9F43-4E1C-BF40-7D09F772B98E}"/>
            </c:ext>
          </c:extLst>
        </c:ser>
        <c:ser>
          <c:idx val="14"/>
          <c:order val="14"/>
          <c:spPr>
            <a:pattFill prst="narVert">
              <a:fgClr>
                <a:schemeClr val="accent6">
                  <a:tint val="92000"/>
                </a:schemeClr>
              </a:fgClr>
              <a:bgClr>
                <a:schemeClr val="accent6">
                  <a:tint val="92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92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обучающиеся'!$P$7:$P$16</c:f>
            </c:numRef>
          </c:val>
          <c:extLst>
            <c:ext xmlns:c16="http://schemas.microsoft.com/office/drawing/2014/chart" uri="{C3380CC4-5D6E-409C-BE32-E72D297353CC}">
              <c16:uniqueId val="{0000000E-9F43-4E1C-BF40-7D09F772B98E}"/>
            </c:ext>
          </c:extLst>
        </c:ser>
        <c:ser>
          <c:idx val="15"/>
          <c:order val="15"/>
          <c:spPr>
            <a:pattFill prst="narVert">
              <a:fgClr>
                <a:schemeClr val="accent6">
                  <a:tint val="96000"/>
                </a:schemeClr>
              </a:fgClr>
              <a:bgClr>
                <a:schemeClr val="accent6">
                  <a:tint val="96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96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обучающиеся'!$Q$7:$Q$16</c:f>
            </c:numRef>
          </c:val>
          <c:extLst>
            <c:ext xmlns:c16="http://schemas.microsoft.com/office/drawing/2014/chart" uri="{C3380CC4-5D6E-409C-BE32-E72D297353CC}">
              <c16:uniqueId val="{0000000F-9F43-4E1C-BF40-7D09F772B98E}"/>
            </c:ext>
          </c:extLst>
        </c:ser>
        <c:ser>
          <c:idx val="16"/>
          <c:order val="16"/>
          <c:spPr>
            <a:pattFill prst="narVert">
              <a:fgClr>
                <a:schemeClr val="accent6"/>
              </a:fgClr>
              <a:bgClr>
                <a:schemeClr val="accent6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/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обучающиеся'!$R$7:$R$16</c:f>
            </c:numRef>
          </c:val>
          <c:extLst>
            <c:ext xmlns:c16="http://schemas.microsoft.com/office/drawing/2014/chart" uri="{C3380CC4-5D6E-409C-BE32-E72D297353CC}">
              <c16:uniqueId val="{00000010-9F43-4E1C-BF40-7D09F772B98E}"/>
            </c:ext>
          </c:extLst>
        </c:ser>
        <c:ser>
          <c:idx val="17"/>
          <c:order val="17"/>
          <c:spPr>
            <a:pattFill prst="narVert">
              <a:fgClr>
                <a:schemeClr val="accent6">
                  <a:shade val="95000"/>
                </a:schemeClr>
              </a:fgClr>
              <a:bgClr>
                <a:schemeClr val="accent6">
                  <a:shade val="9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95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обучающиеся'!$S$7:$S$16</c:f>
            </c:numRef>
          </c:val>
          <c:extLst>
            <c:ext xmlns:c16="http://schemas.microsoft.com/office/drawing/2014/chart" uri="{C3380CC4-5D6E-409C-BE32-E72D297353CC}">
              <c16:uniqueId val="{00000011-9F43-4E1C-BF40-7D09F772B98E}"/>
            </c:ext>
          </c:extLst>
        </c:ser>
        <c:ser>
          <c:idx val="18"/>
          <c:order val="18"/>
          <c:spPr>
            <a:pattFill prst="narVert">
              <a:fgClr>
                <a:schemeClr val="accent6">
                  <a:shade val="91000"/>
                </a:schemeClr>
              </a:fgClr>
              <a:bgClr>
                <a:schemeClr val="accent6">
                  <a:shade val="91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91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обучающиеся'!$T$7:$T$16</c:f>
            </c:numRef>
          </c:val>
          <c:extLst>
            <c:ext xmlns:c16="http://schemas.microsoft.com/office/drawing/2014/chart" uri="{C3380CC4-5D6E-409C-BE32-E72D297353CC}">
              <c16:uniqueId val="{00000012-9F43-4E1C-BF40-7D09F772B98E}"/>
            </c:ext>
          </c:extLst>
        </c:ser>
        <c:ser>
          <c:idx val="19"/>
          <c:order val="19"/>
          <c:spPr>
            <a:pattFill prst="narVert">
              <a:fgClr>
                <a:schemeClr val="accent6">
                  <a:shade val="87000"/>
                </a:schemeClr>
              </a:fgClr>
              <a:bgClr>
                <a:schemeClr val="accent6">
                  <a:shade val="87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87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обучающиеся'!$U$7:$U$16</c:f>
            </c:numRef>
          </c:val>
          <c:extLst>
            <c:ext xmlns:c16="http://schemas.microsoft.com/office/drawing/2014/chart" uri="{C3380CC4-5D6E-409C-BE32-E72D297353CC}">
              <c16:uniqueId val="{00000013-9F43-4E1C-BF40-7D09F772B98E}"/>
            </c:ext>
          </c:extLst>
        </c:ser>
        <c:ser>
          <c:idx val="20"/>
          <c:order val="20"/>
          <c:spPr>
            <a:pattFill prst="narVert">
              <a:fgClr>
                <a:schemeClr val="accent6">
                  <a:shade val="83000"/>
                </a:schemeClr>
              </a:fgClr>
              <a:bgClr>
                <a:schemeClr val="accent6">
                  <a:shade val="83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83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обучающиеся'!$V$7:$V$16</c:f>
            </c:numRef>
          </c:val>
          <c:extLst>
            <c:ext xmlns:c16="http://schemas.microsoft.com/office/drawing/2014/chart" uri="{C3380CC4-5D6E-409C-BE32-E72D297353CC}">
              <c16:uniqueId val="{00000014-9F43-4E1C-BF40-7D09F772B98E}"/>
            </c:ext>
          </c:extLst>
        </c:ser>
        <c:ser>
          <c:idx val="21"/>
          <c:order val="21"/>
          <c:spPr>
            <a:pattFill prst="narVert">
              <a:fgClr>
                <a:schemeClr val="accent6">
                  <a:shade val="79000"/>
                </a:schemeClr>
              </a:fgClr>
              <a:bgClr>
                <a:schemeClr val="accent6">
                  <a:shade val="79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79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обучающиеся'!$W$7:$W$16</c:f>
            </c:numRef>
          </c:val>
          <c:extLst>
            <c:ext xmlns:c16="http://schemas.microsoft.com/office/drawing/2014/chart" uri="{C3380CC4-5D6E-409C-BE32-E72D297353CC}">
              <c16:uniqueId val="{00000015-9F43-4E1C-BF40-7D09F772B98E}"/>
            </c:ext>
          </c:extLst>
        </c:ser>
        <c:ser>
          <c:idx val="22"/>
          <c:order val="22"/>
          <c:spPr>
            <a:pattFill prst="narVert">
              <a:fgClr>
                <a:schemeClr val="accent6">
                  <a:shade val="75000"/>
                </a:schemeClr>
              </a:fgClr>
              <a:bgClr>
                <a:schemeClr val="accent6">
                  <a:shade val="7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75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обучающиеся'!$X$7:$X$16</c:f>
            </c:numRef>
          </c:val>
          <c:extLst>
            <c:ext xmlns:c16="http://schemas.microsoft.com/office/drawing/2014/chart" uri="{C3380CC4-5D6E-409C-BE32-E72D297353CC}">
              <c16:uniqueId val="{00000016-9F43-4E1C-BF40-7D09F772B98E}"/>
            </c:ext>
          </c:extLst>
        </c:ser>
        <c:ser>
          <c:idx val="23"/>
          <c:order val="23"/>
          <c:spPr>
            <a:pattFill prst="narVert">
              <a:fgClr>
                <a:schemeClr val="accent6">
                  <a:shade val="71000"/>
                </a:schemeClr>
              </a:fgClr>
              <a:bgClr>
                <a:schemeClr val="accent6">
                  <a:shade val="71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71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обучающиеся'!$Y$7:$Y$16</c:f>
            </c:numRef>
          </c:val>
          <c:extLst>
            <c:ext xmlns:c16="http://schemas.microsoft.com/office/drawing/2014/chart" uri="{C3380CC4-5D6E-409C-BE32-E72D297353CC}">
              <c16:uniqueId val="{00000017-9F43-4E1C-BF40-7D09F772B98E}"/>
            </c:ext>
          </c:extLst>
        </c:ser>
        <c:ser>
          <c:idx val="24"/>
          <c:order val="24"/>
          <c:spPr>
            <a:pattFill prst="narVert">
              <a:fgClr>
                <a:schemeClr val="accent6">
                  <a:shade val="67000"/>
                </a:schemeClr>
              </a:fgClr>
              <a:bgClr>
                <a:schemeClr val="accent6">
                  <a:shade val="67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67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обучающиеся'!$Z$7:$Z$16</c:f>
            </c:numRef>
          </c:val>
          <c:extLst>
            <c:ext xmlns:c16="http://schemas.microsoft.com/office/drawing/2014/chart" uri="{C3380CC4-5D6E-409C-BE32-E72D297353CC}">
              <c16:uniqueId val="{00000018-9F43-4E1C-BF40-7D09F772B98E}"/>
            </c:ext>
          </c:extLst>
        </c:ser>
        <c:ser>
          <c:idx val="25"/>
          <c:order val="25"/>
          <c:spPr>
            <a:pattFill prst="narVert">
              <a:fgClr>
                <a:schemeClr val="accent6">
                  <a:shade val="62000"/>
                </a:schemeClr>
              </a:fgClr>
              <a:bgClr>
                <a:schemeClr val="accent6">
                  <a:shade val="62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62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обучающиеся'!$AA$7:$AA$16</c:f>
            </c:numRef>
          </c:val>
          <c:extLst>
            <c:ext xmlns:c16="http://schemas.microsoft.com/office/drawing/2014/chart" uri="{C3380CC4-5D6E-409C-BE32-E72D297353CC}">
              <c16:uniqueId val="{00000019-9F43-4E1C-BF40-7D09F772B98E}"/>
            </c:ext>
          </c:extLst>
        </c:ser>
        <c:ser>
          <c:idx val="26"/>
          <c:order val="26"/>
          <c:spPr>
            <a:pattFill prst="narVert">
              <a:fgClr>
                <a:schemeClr val="accent6">
                  <a:shade val="58000"/>
                </a:schemeClr>
              </a:fgClr>
              <a:bgClr>
                <a:schemeClr val="accent6">
                  <a:shade val="58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58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обучающиеся'!$AB$7:$AB$16</c:f>
            </c:numRef>
          </c:val>
          <c:extLst>
            <c:ext xmlns:c16="http://schemas.microsoft.com/office/drawing/2014/chart" uri="{C3380CC4-5D6E-409C-BE32-E72D297353CC}">
              <c16:uniqueId val="{0000001A-9F43-4E1C-BF40-7D09F772B98E}"/>
            </c:ext>
          </c:extLst>
        </c:ser>
        <c:ser>
          <c:idx val="27"/>
          <c:order val="27"/>
          <c:spPr>
            <a:pattFill prst="narVert">
              <a:fgClr>
                <a:schemeClr val="accent6">
                  <a:shade val="54000"/>
                </a:schemeClr>
              </a:fgClr>
              <a:bgClr>
                <a:schemeClr val="accent6">
                  <a:shade val="54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54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обучающиеся'!$AC$7:$AC$16</c:f>
            </c:numRef>
          </c:val>
          <c:extLst>
            <c:ext xmlns:c16="http://schemas.microsoft.com/office/drawing/2014/chart" uri="{C3380CC4-5D6E-409C-BE32-E72D297353CC}">
              <c16:uniqueId val="{0000001B-9F43-4E1C-BF40-7D09F772B98E}"/>
            </c:ext>
          </c:extLst>
        </c:ser>
        <c:ser>
          <c:idx val="28"/>
          <c:order val="28"/>
          <c:spPr>
            <a:pattFill prst="narVert">
              <a:fgClr>
                <a:schemeClr val="accent6">
                  <a:shade val="50000"/>
                </a:schemeClr>
              </a:fgClr>
              <a:bgClr>
                <a:schemeClr val="accent6">
                  <a:shade val="5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50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обучающиеся'!$AD$7:$AD$16</c:f>
            </c:numRef>
          </c:val>
          <c:extLst>
            <c:ext xmlns:c16="http://schemas.microsoft.com/office/drawing/2014/chart" uri="{C3380CC4-5D6E-409C-BE32-E72D297353CC}">
              <c16:uniqueId val="{0000001C-9F43-4E1C-BF40-7D09F772B98E}"/>
            </c:ext>
          </c:extLst>
        </c:ser>
        <c:ser>
          <c:idx val="29"/>
          <c:order val="29"/>
          <c:spPr>
            <a:pattFill prst="narVert">
              <a:fgClr>
                <a:schemeClr val="accent6">
                  <a:shade val="46000"/>
                </a:schemeClr>
              </a:fgClr>
              <a:bgClr>
                <a:schemeClr val="accent6">
                  <a:shade val="46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46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обучающиеся'!$AE$7:$AE$16</c:f>
            </c:numRef>
          </c:val>
          <c:extLst>
            <c:ext xmlns:c16="http://schemas.microsoft.com/office/drawing/2014/chart" uri="{C3380CC4-5D6E-409C-BE32-E72D297353CC}">
              <c16:uniqueId val="{0000001D-9F43-4E1C-BF40-7D09F772B98E}"/>
            </c:ext>
          </c:extLst>
        </c:ser>
        <c:ser>
          <c:idx val="30"/>
          <c:order val="30"/>
          <c:spPr>
            <a:pattFill prst="narVert">
              <a:fgClr>
                <a:schemeClr val="accent6">
                  <a:shade val="42000"/>
                </a:schemeClr>
              </a:fgClr>
              <a:bgClr>
                <a:schemeClr val="accent6">
                  <a:shade val="42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42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обучающиеся'!$AF$7:$AF$16</c:f>
            </c:numRef>
          </c:val>
          <c:extLst>
            <c:ext xmlns:c16="http://schemas.microsoft.com/office/drawing/2014/chart" uri="{C3380CC4-5D6E-409C-BE32-E72D297353CC}">
              <c16:uniqueId val="{0000001E-9F43-4E1C-BF40-7D09F772B98E}"/>
            </c:ext>
          </c:extLst>
        </c:ser>
        <c:ser>
          <c:idx val="31"/>
          <c:order val="31"/>
          <c:spPr>
            <a:pattFill prst="narVert">
              <a:fgClr>
                <a:schemeClr val="accent6">
                  <a:shade val="38000"/>
                </a:schemeClr>
              </a:fgClr>
              <a:bgClr>
                <a:schemeClr val="accent6">
                  <a:shade val="38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38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обучающиеся'!$AG$7:$AG$16</c:f>
            </c:numRef>
          </c:val>
          <c:extLst>
            <c:ext xmlns:c16="http://schemas.microsoft.com/office/drawing/2014/chart" uri="{C3380CC4-5D6E-409C-BE32-E72D297353CC}">
              <c16:uniqueId val="{0000001F-9F43-4E1C-BF40-7D09F772B98E}"/>
            </c:ext>
          </c:extLst>
        </c:ser>
        <c:ser>
          <c:idx val="32"/>
          <c:order val="32"/>
          <c:spPr>
            <a:pattFill prst="narVert">
              <a:fgClr>
                <a:schemeClr val="accent6">
                  <a:shade val="34000"/>
                </a:schemeClr>
              </a:fgClr>
              <a:bgClr>
                <a:schemeClr val="accent6">
                  <a:shade val="34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34000"/>
                </a:schemeClr>
              </a:innerShdw>
            </a:effectLst>
          </c:spPr>
          <c:invertIfNegative val="0"/>
          <c:cat>
            <c:strRef>
              <c:f>'свод обучающиеся'!$A$7:$A$16</c:f>
              <c:strCache>
                <c:ptCount val="10"/>
                <c:pt idx="0">
                  <c:v>   Перегруженность домашними заданиями</c:v>
                </c:pt>
                <c:pt idx="1">
                  <c:v>   Устаревшее оснащение школ</c:v>
                </c:pt>
                <c:pt idx="2">
                  <c:v>  Слишком много контрольных работ</c:v>
                </c:pt>
                <c:pt idx="3">
                  <c:v>   Плохое питание</c:v>
                </c:pt>
                <c:pt idx="4">
                  <c:v>  Недостаток площадей для осуществления образовательного процесса, и, как следствие обучение в 2 смены</c:v>
                </c:pt>
                <c:pt idx="5">
                  <c:v>Отсутствие интернета и доступа к электронным образовательным ресурсам в школе</c:v>
                </c:pt>
                <c:pt idx="6">
                  <c:v>   Неинтересные уроки</c:v>
                </c:pt>
                <c:pt idx="7">
                  <c:v>   Отсутствие индивидуальных образовательных траекторий</c:v>
                </c:pt>
                <c:pt idx="8">
                  <c:v>   Отсутствие в школе системы работы с отстающими учениками</c:v>
                </c:pt>
                <c:pt idx="9">
                  <c:v>  Отсутствие системы безопасности в школе</c:v>
                </c:pt>
              </c:strCache>
            </c:strRef>
          </c:cat>
          <c:val>
            <c:numRef>
              <c:f>'свод обучающиеся'!$AH$7:$AH$16</c:f>
              <c:numCache>
                <c:formatCode>General</c:formatCode>
                <c:ptCount val="10"/>
                <c:pt idx="0">
                  <c:v>62.7</c:v>
                </c:pt>
                <c:pt idx="1">
                  <c:v>60.3</c:v>
                </c:pt>
                <c:pt idx="2">
                  <c:v>51.4</c:v>
                </c:pt>
                <c:pt idx="3">
                  <c:v>39.200000000000003</c:v>
                </c:pt>
                <c:pt idx="4">
                  <c:v>36.6</c:v>
                </c:pt>
                <c:pt idx="5">
                  <c:v>33.9</c:v>
                </c:pt>
                <c:pt idx="6">
                  <c:v>31.9</c:v>
                </c:pt>
                <c:pt idx="7">
                  <c:v>28.8</c:v>
                </c:pt>
                <c:pt idx="8">
                  <c:v>24</c:v>
                </c:pt>
                <c:pt idx="9">
                  <c:v>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9F43-4E1C-BF40-7D09F772B9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315200936"/>
        <c:axId val="315201720"/>
      </c:barChart>
      <c:catAx>
        <c:axId val="315200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201720"/>
        <c:crosses val="autoZero"/>
        <c:auto val="1"/>
        <c:lblAlgn val="ctr"/>
        <c:lblOffset val="100"/>
        <c:noMultiLvlLbl val="0"/>
      </c:catAx>
      <c:valAx>
        <c:axId val="315201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200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 b="0" i="0" kern="1200" spc="0" baseline="0">
                <a:solidFill>
                  <a:srgbClr val="595959"/>
                </a:solidFill>
                <a:effectLst/>
                <a:latin typeface="Calibri" panose="020F0502020204030204" pitchFamily="34" charset="0"/>
              </a:rPr>
              <a:t>Оценка удовлетворенности качеством образования участников образовательных отношений: </a:t>
            </a:r>
            <a:r>
              <a:rPr lang="ru-RU" sz="900" b="1" i="0" kern="1200" spc="0" baseline="0">
                <a:solidFill>
                  <a:srgbClr val="595959"/>
                </a:solidFill>
                <a:effectLst/>
                <a:latin typeface="Calibri" panose="020F0502020204030204" pitchFamily="34" charset="0"/>
              </a:rPr>
              <a:t>проблемы беспокоящие родителей   </a:t>
            </a:r>
            <a:endParaRPr lang="ru-RU" sz="9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6">
                  <a:tint val="35000"/>
                </a:schemeClr>
              </a:fgClr>
              <a:bgClr>
                <a:schemeClr val="accent6">
                  <a:tint val="3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35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родители'!$B$6:$B$15</c:f>
            </c:numRef>
          </c:val>
          <c:extLst>
            <c:ext xmlns:c16="http://schemas.microsoft.com/office/drawing/2014/chart" uri="{C3380CC4-5D6E-409C-BE32-E72D297353CC}">
              <c16:uniqueId val="{00000000-5038-484F-A017-A48CBABD82D5}"/>
            </c:ext>
          </c:extLst>
        </c:ser>
        <c:ser>
          <c:idx val="1"/>
          <c:order val="1"/>
          <c:spPr>
            <a:pattFill prst="narVert">
              <a:fgClr>
                <a:schemeClr val="accent6">
                  <a:tint val="39000"/>
                </a:schemeClr>
              </a:fgClr>
              <a:bgClr>
                <a:schemeClr val="accent6">
                  <a:tint val="39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39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родители'!$C$6:$C$15</c:f>
            </c:numRef>
          </c:val>
          <c:extLst>
            <c:ext xmlns:c16="http://schemas.microsoft.com/office/drawing/2014/chart" uri="{C3380CC4-5D6E-409C-BE32-E72D297353CC}">
              <c16:uniqueId val="{00000001-5038-484F-A017-A48CBABD82D5}"/>
            </c:ext>
          </c:extLst>
        </c:ser>
        <c:ser>
          <c:idx val="2"/>
          <c:order val="2"/>
          <c:spPr>
            <a:pattFill prst="narVert">
              <a:fgClr>
                <a:schemeClr val="accent6">
                  <a:tint val="43000"/>
                </a:schemeClr>
              </a:fgClr>
              <a:bgClr>
                <a:schemeClr val="accent6">
                  <a:tint val="43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43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родители'!$D$6:$D$15</c:f>
            </c:numRef>
          </c:val>
          <c:extLst>
            <c:ext xmlns:c16="http://schemas.microsoft.com/office/drawing/2014/chart" uri="{C3380CC4-5D6E-409C-BE32-E72D297353CC}">
              <c16:uniqueId val="{00000002-5038-484F-A017-A48CBABD82D5}"/>
            </c:ext>
          </c:extLst>
        </c:ser>
        <c:ser>
          <c:idx val="3"/>
          <c:order val="3"/>
          <c:spPr>
            <a:pattFill prst="narVert">
              <a:fgClr>
                <a:schemeClr val="accent6">
                  <a:tint val="47000"/>
                </a:schemeClr>
              </a:fgClr>
              <a:bgClr>
                <a:schemeClr val="accent6">
                  <a:tint val="47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47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родители'!$E$6:$E$15</c:f>
            </c:numRef>
          </c:val>
          <c:extLst>
            <c:ext xmlns:c16="http://schemas.microsoft.com/office/drawing/2014/chart" uri="{C3380CC4-5D6E-409C-BE32-E72D297353CC}">
              <c16:uniqueId val="{00000003-5038-484F-A017-A48CBABD82D5}"/>
            </c:ext>
          </c:extLst>
        </c:ser>
        <c:ser>
          <c:idx val="4"/>
          <c:order val="4"/>
          <c:spPr>
            <a:pattFill prst="narVert">
              <a:fgClr>
                <a:schemeClr val="accent6">
                  <a:tint val="51000"/>
                </a:schemeClr>
              </a:fgClr>
              <a:bgClr>
                <a:schemeClr val="accent6">
                  <a:tint val="51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51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родители'!$F$6:$F$15</c:f>
            </c:numRef>
          </c:val>
          <c:extLst>
            <c:ext xmlns:c16="http://schemas.microsoft.com/office/drawing/2014/chart" uri="{C3380CC4-5D6E-409C-BE32-E72D297353CC}">
              <c16:uniqueId val="{00000004-5038-484F-A017-A48CBABD82D5}"/>
            </c:ext>
          </c:extLst>
        </c:ser>
        <c:ser>
          <c:idx val="5"/>
          <c:order val="5"/>
          <c:spPr>
            <a:pattFill prst="narVert">
              <a:fgClr>
                <a:schemeClr val="accent6">
                  <a:tint val="55000"/>
                </a:schemeClr>
              </a:fgClr>
              <a:bgClr>
                <a:schemeClr val="accent6">
                  <a:tint val="5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55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родители'!$G$6:$G$15</c:f>
            </c:numRef>
          </c:val>
          <c:extLst>
            <c:ext xmlns:c16="http://schemas.microsoft.com/office/drawing/2014/chart" uri="{C3380CC4-5D6E-409C-BE32-E72D297353CC}">
              <c16:uniqueId val="{00000005-5038-484F-A017-A48CBABD82D5}"/>
            </c:ext>
          </c:extLst>
        </c:ser>
        <c:ser>
          <c:idx val="6"/>
          <c:order val="6"/>
          <c:spPr>
            <a:pattFill prst="narVert">
              <a:fgClr>
                <a:schemeClr val="accent6">
                  <a:tint val="59000"/>
                </a:schemeClr>
              </a:fgClr>
              <a:bgClr>
                <a:schemeClr val="accent6">
                  <a:tint val="59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59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родители'!$H$6:$H$15</c:f>
            </c:numRef>
          </c:val>
          <c:extLst>
            <c:ext xmlns:c16="http://schemas.microsoft.com/office/drawing/2014/chart" uri="{C3380CC4-5D6E-409C-BE32-E72D297353CC}">
              <c16:uniqueId val="{00000006-5038-484F-A017-A48CBABD82D5}"/>
            </c:ext>
          </c:extLst>
        </c:ser>
        <c:ser>
          <c:idx val="7"/>
          <c:order val="7"/>
          <c:spPr>
            <a:pattFill prst="narVert">
              <a:fgClr>
                <a:schemeClr val="accent6">
                  <a:tint val="63000"/>
                </a:schemeClr>
              </a:fgClr>
              <a:bgClr>
                <a:schemeClr val="accent6">
                  <a:tint val="63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63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родители'!$I$6:$I$15</c:f>
            </c:numRef>
          </c:val>
          <c:extLst>
            <c:ext xmlns:c16="http://schemas.microsoft.com/office/drawing/2014/chart" uri="{C3380CC4-5D6E-409C-BE32-E72D297353CC}">
              <c16:uniqueId val="{00000007-5038-484F-A017-A48CBABD82D5}"/>
            </c:ext>
          </c:extLst>
        </c:ser>
        <c:ser>
          <c:idx val="8"/>
          <c:order val="8"/>
          <c:spPr>
            <a:pattFill prst="narVert">
              <a:fgClr>
                <a:schemeClr val="accent6">
                  <a:tint val="68000"/>
                </a:schemeClr>
              </a:fgClr>
              <a:bgClr>
                <a:schemeClr val="accent6">
                  <a:tint val="68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68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родители'!$J$6:$J$15</c:f>
            </c:numRef>
          </c:val>
          <c:extLst>
            <c:ext xmlns:c16="http://schemas.microsoft.com/office/drawing/2014/chart" uri="{C3380CC4-5D6E-409C-BE32-E72D297353CC}">
              <c16:uniqueId val="{00000008-5038-484F-A017-A48CBABD82D5}"/>
            </c:ext>
          </c:extLst>
        </c:ser>
        <c:ser>
          <c:idx val="9"/>
          <c:order val="9"/>
          <c:spPr>
            <a:pattFill prst="narVert">
              <a:fgClr>
                <a:schemeClr val="accent6">
                  <a:tint val="72000"/>
                </a:schemeClr>
              </a:fgClr>
              <a:bgClr>
                <a:schemeClr val="accent6">
                  <a:tint val="72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72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родители'!$K$6:$K$15</c:f>
            </c:numRef>
          </c:val>
          <c:extLst>
            <c:ext xmlns:c16="http://schemas.microsoft.com/office/drawing/2014/chart" uri="{C3380CC4-5D6E-409C-BE32-E72D297353CC}">
              <c16:uniqueId val="{00000009-5038-484F-A017-A48CBABD82D5}"/>
            </c:ext>
          </c:extLst>
        </c:ser>
        <c:ser>
          <c:idx val="10"/>
          <c:order val="10"/>
          <c:spPr>
            <a:pattFill prst="narVert">
              <a:fgClr>
                <a:schemeClr val="accent6">
                  <a:tint val="76000"/>
                </a:schemeClr>
              </a:fgClr>
              <a:bgClr>
                <a:schemeClr val="accent6">
                  <a:tint val="76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76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родители'!$L$6:$L$15</c:f>
            </c:numRef>
          </c:val>
          <c:extLst>
            <c:ext xmlns:c16="http://schemas.microsoft.com/office/drawing/2014/chart" uri="{C3380CC4-5D6E-409C-BE32-E72D297353CC}">
              <c16:uniqueId val="{0000000A-5038-484F-A017-A48CBABD82D5}"/>
            </c:ext>
          </c:extLst>
        </c:ser>
        <c:ser>
          <c:idx val="11"/>
          <c:order val="11"/>
          <c:spPr>
            <a:pattFill prst="narVert">
              <a:fgClr>
                <a:schemeClr val="accent6">
                  <a:tint val="80000"/>
                </a:schemeClr>
              </a:fgClr>
              <a:bgClr>
                <a:schemeClr val="accent6">
                  <a:tint val="8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80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родители'!$M$6:$M$15</c:f>
            </c:numRef>
          </c:val>
          <c:extLst>
            <c:ext xmlns:c16="http://schemas.microsoft.com/office/drawing/2014/chart" uri="{C3380CC4-5D6E-409C-BE32-E72D297353CC}">
              <c16:uniqueId val="{0000000B-5038-484F-A017-A48CBABD82D5}"/>
            </c:ext>
          </c:extLst>
        </c:ser>
        <c:ser>
          <c:idx val="12"/>
          <c:order val="12"/>
          <c:spPr>
            <a:pattFill prst="narVert">
              <a:fgClr>
                <a:schemeClr val="accent6">
                  <a:tint val="84000"/>
                </a:schemeClr>
              </a:fgClr>
              <a:bgClr>
                <a:schemeClr val="accent6">
                  <a:tint val="84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84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родители'!$N$6:$N$15</c:f>
            </c:numRef>
          </c:val>
          <c:extLst>
            <c:ext xmlns:c16="http://schemas.microsoft.com/office/drawing/2014/chart" uri="{C3380CC4-5D6E-409C-BE32-E72D297353CC}">
              <c16:uniqueId val="{0000000C-5038-484F-A017-A48CBABD82D5}"/>
            </c:ext>
          </c:extLst>
        </c:ser>
        <c:ser>
          <c:idx val="13"/>
          <c:order val="13"/>
          <c:spPr>
            <a:pattFill prst="narVert">
              <a:fgClr>
                <a:schemeClr val="accent6">
                  <a:tint val="88000"/>
                </a:schemeClr>
              </a:fgClr>
              <a:bgClr>
                <a:schemeClr val="accent6">
                  <a:tint val="88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88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родители'!$O$6:$O$15</c:f>
            </c:numRef>
          </c:val>
          <c:extLst>
            <c:ext xmlns:c16="http://schemas.microsoft.com/office/drawing/2014/chart" uri="{C3380CC4-5D6E-409C-BE32-E72D297353CC}">
              <c16:uniqueId val="{0000000D-5038-484F-A017-A48CBABD82D5}"/>
            </c:ext>
          </c:extLst>
        </c:ser>
        <c:ser>
          <c:idx val="14"/>
          <c:order val="14"/>
          <c:spPr>
            <a:pattFill prst="narVert">
              <a:fgClr>
                <a:schemeClr val="accent6">
                  <a:tint val="92000"/>
                </a:schemeClr>
              </a:fgClr>
              <a:bgClr>
                <a:schemeClr val="accent6">
                  <a:tint val="92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92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родители'!$P$6:$P$15</c:f>
            </c:numRef>
          </c:val>
          <c:extLst>
            <c:ext xmlns:c16="http://schemas.microsoft.com/office/drawing/2014/chart" uri="{C3380CC4-5D6E-409C-BE32-E72D297353CC}">
              <c16:uniqueId val="{0000000E-5038-484F-A017-A48CBABD82D5}"/>
            </c:ext>
          </c:extLst>
        </c:ser>
        <c:ser>
          <c:idx val="15"/>
          <c:order val="15"/>
          <c:spPr>
            <a:pattFill prst="narVert">
              <a:fgClr>
                <a:schemeClr val="accent6">
                  <a:tint val="96000"/>
                </a:schemeClr>
              </a:fgClr>
              <a:bgClr>
                <a:schemeClr val="accent6">
                  <a:tint val="96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tint val="96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родители'!$Q$6:$Q$15</c:f>
            </c:numRef>
          </c:val>
          <c:extLst>
            <c:ext xmlns:c16="http://schemas.microsoft.com/office/drawing/2014/chart" uri="{C3380CC4-5D6E-409C-BE32-E72D297353CC}">
              <c16:uniqueId val="{0000000F-5038-484F-A017-A48CBABD82D5}"/>
            </c:ext>
          </c:extLst>
        </c:ser>
        <c:ser>
          <c:idx val="16"/>
          <c:order val="16"/>
          <c:spPr>
            <a:pattFill prst="narVert">
              <a:fgClr>
                <a:schemeClr val="accent6"/>
              </a:fgClr>
              <a:bgClr>
                <a:schemeClr val="accent6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/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родители'!$R$6:$R$15</c:f>
            </c:numRef>
          </c:val>
          <c:extLst>
            <c:ext xmlns:c16="http://schemas.microsoft.com/office/drawing/2014/chart" uri="{C3380CC4-5D6E-409C-BE32-E72D297353CC}">
              <c16:uniqueId val="{00000010-5038-484F-A017-A48CBABD82D5}"/>
            </c:ext>
          </c:extLst>
        </c:ser>
        <c:ser>
          <c:idx val="17"/>
          <c:order val="17"/>
          <c:spPr>
            <a:pattFill prst="narVert">
              <a:fgClr>
                <a:schemeClr val="accent6">
                  <a:shade val="95000"/>
                </a:schemeClr>
              </a:fgClr>
              <a:bgClr>
                <a:schemeClr val="accent6">
                  <a:shade val="9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95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родители'!$S$6:$S$15</c:f>
            </c:numRef>
          </c:val>
          <c:extLst>
            <c:ext xmlns:c16="http://schemas.microsoft.com/office/drawing/2014/chart" uri="{C3380CC4-5D6E-409C-BE32-E72D297353CC}">
              <c16:uniqueId val="{00000011-5038-484F-A017-A48CBABD82D5}"/>
            </c:ext>
          </c:extLst>
        </c:ser>
        <c:ser>
          <c:idx val="18"/>
          <c:order val="18"/>
          <c:spPr>
            <a:pattFill prst="narVert">
              <a:fgClr>
                <a:schemeClr val="accent6">
                  <a:shade val="91000"/>
                </a:schemeClr>
              </a:fgClr>
              <a:bgClr>
                <a:schemeClr val="accent6">
                  <a:shade val="91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91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родители'!$T$6:$T$15</c:f>
            </c:numRef>
          </c:val>
          <c:extLst>
            <c:ext xmlns:c16="http://schemas.microsoft.com/office/drawing/2014/chart" uri="{C3380CC4-5D6E-409C-BE32-E72D297353CC}">
              <c16:uniqueId val="{00000012-5038-484F-A017-A48CBABD82D5}"/>
            </c:ext>
          </c:extLst>
        </c:ser>
        <c:ser>
          <c:idx val="19"/>
          <c:order val="19"/>
          <c:spPr>
            <a:pattFill prst="narVert">
              <a:fgClr>
                <a:schemeClr val="accent6">
                  <a:shade val="87000"/>
                </a:schemeClr>
              </a:fgClr>
              <a:bgClr>
                <a:schemeClr val="accent6">
                  <a:shade val="87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87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родители'!$U$6:$U$15</c:f>
            </c:numRef>
          </c:val>
          <c:extLst>
            <c:ext xmlns:c16="http://schemas.microsoft.com/office/drawing/2014/chart" uri="{C3380CC4-5D6E-409C-BE32-E72D297353CC}">
              <c16:uniqueId val="{00000013-5038-484F-A017-A48CBABD82D5}"/>
            </c:ext>
          </c:extLst>
        </c:ser>
        <c:ser>
          <c:idx val="20"/>
          <c:order val="20"/>
          <c:spPr>
            <a:pattFill prst="narVert">
              <a:fgClr>
                <a:schemeClr val="accent6">
                  <a:shade val="83000"/>
                </a:schemeClr>
              </a:fgClr>
              <a:bgClr>
                <a:schemeClr val="accent6">
                  <a:shade val="83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83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родители'!$V$6:$V$15</c:f>
            </c:numRef>
          </c:val>
          <c:extLst>
            <c:ext xmlns:c16="http://schemas.microsoft.com/office/drawing/2014/chart" uri="{C3380CC4-5D6E-409C-BE32-E72D297353CC}">
              <c16:uniqueId val="{00000014-5038-484F-A017-A48CBABD82D5}"/>
            </c:ext>
          </c:extLst>
        </c:ser>
        <c:ser>
          <c:idx val="21"/>
          <c:order val="21"/>
          <c:spPr>
            <a:pattFill prst="narVert">
              <a:fgClr>
                <a:schemeClr val="accent6">
                  <a:shade val="79000"/>
                </a:schemeClr>
              </a:fgClr>
              <a:bgClr>
                <a:schemeClr val="accent6">
                  <a:shade val="79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79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родители'!$W$6:$W$15</c:f>
            </c:numRef>
          </c:val>
          <c:extLst>
            <c:ext xmlns:c16="http://schemas.microsoft.com/office/drawing/2014/chart" uri="{C3380CC4-5D6E-409C-BE32-E72D297353CC}">
              <c16:uniqueId val="{00000015-5038-484F-A017-A48CBABD82D5}"/>
            </c:ext>
          </c:extLst>
        </c:ser>
        <c:ser>
          <c:idx val="22"/>
          <c:order val="22"/>
          <c:spPr>
            <a:pattFill prst="narVert">
              <a:fgClr>
                <a:schemeClr val="accent6">
                  <a:shade val="75000"/>
                </a:schemeClr>
              </a:fgClr>
              <a:bgClr>
                <a:schemeClr val="accent6">
                  <a:shade val="7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75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родители'!$X$6:$X$15</c:f>
            </c:numRef>
          </c:val>
          <c:extLst>
            <c:ext xmlns:c16="http://schemas.microsoft.com/office/drawing/2014/chart" uri="{C3380CC4-5D6E-409C-BE32-E72D297353CC}">
              <c16:uniqueId val="{00000016-5038-484F-A017-A48CBABD82D5}"/>
            </c:ext>
          </c:extLst>
        </c:ser>
        <c:ser>
          <c:idx val="23"/>
          <c:order val="23"/>
          <c:spPr>
            <a:pattFill prst="narVert">
              <a:fgClr>
                <a:schemeClr val="accent6">
                  <a:shade val="71000"/>
                </a:schemeClr>
              </a:fgClr>
              <a:bgClr>
                <a:schemeClr val="accent6">
                  <a:shade val="71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71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родители'!$Y$6:$Y$15</c:f>
            </c:numRef>
          </c:val>
          <c:extLst>
            <c:ext xmlns:c16="http://schemas.microsoft.com/office/drawing/2014/chart" uri="{C3380CC4-5D6E-409C-BE32-E72D297353CC}">
              <c16:uniqueId val="{00000017-5038-484F-A017-A48CBABD82D5}"/>
            </c:ext>
          </c:extLst>
        </c:ser>
        <c:ser>
          <c:idx val="24"/>
          <c:order val="24"/>
          <c:spPr>
            <a:pattFill prst="narVert">
              <a:fgClr>
                <a:schemeClr val="accent6">
                  <a:shade val="67000"/>
                </a:schemeClr>
              </a:fgClr>
              <a:bgClr>
                <a:schemeClr val="accent6">
                  <a:shade val="67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67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родители'!$Z$6:$Z$15</c:f>
            </c:numRef>
          </c:val>
          <c:extLst>
            <c:ext xmlns:c16="http://schemas.microsoft.com/office/drawing/2014/chart" uri="{C3380CC4-5D6E-409C-BE32-E72D297353CC}">
              <c16:uniqueId val="{00000018-5038-484F-A017-A48CBABD82D5}"/>
            </c:ext>
          </c:extLst>
        </c:ser>
        <c:ser>
          <c:idx val="25"/>
          <c:order val="25"/>
          <c:spPr>
            <a:pattFill prst="narVert">
              <a:fgClr>
                <a:schemeClr val="accent6">
                  <a:shade val="62000"/>
                </a:schemeClr>
              </a:fgClr>
              <a:bgClr>
                <a:schemeClr val="accent6">
                  <a:shade val="62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62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родители'!$AA$6:$AA$15</c:f>
            </c:numRef>
          </c:val>
          <c:extLst>
            <c:ext xmlns:c16="http://schemas.microsoft.com/office/drawing/2014/chart" uri="{C3380CC4-5D6E-409C-BE32-E72D297353CC}">
              <c16:uniqueId val="{00000019-5038-484F-A017-A48CBABD82D5}"/>
            </c:ext>
          </c:extLst>
        </c:ser>
        <c:ser>
          <c:idx val="26"/>
          <c:order val="26"/>
          <c:spPr>
            <a:pattFill prst="narVert">
              <a:fgClr>
                <a:schemeClr val="accent6">
                  <a:shade val="58000"/>
                </a:schemeClr>
              </a:fgClr>
              <a:bgClr>
                <a:schemeClr val="accent6">
                  <a:shade val="58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58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родители'!$AB$6:$AB$15</c:f>
            </c:numRef>
          </c:val>
          <c:extLst>
            <c:ext xmlns:c16="http://schemas.microsoft.com/office/drawing/2014/chart" uri="{C3380CC4-5D6E-409C-BE32-E72D297353CC}">
              <c16:uniqueId val="{0000001A-5038-484F-A017-A48CBABD82D5}"/>
            </c:ext>
          </c:extLst>
        </c:ser>
        <c:ser>
          <c:idx val="27"/>
          <c:order val="27"/>
          <c:spPr>
            <a:pattFill prst="narVert">
              <a:fgClr>
                <a:schemeClr val="accent6">
                  <a:shade val="54000"/>
                </a:schemeClr>
              </a:fgClr>
              <a:bgClr>
                <a:schemeClr val="accent6">
                  <a:shade val="54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54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родители'!$AC$6:$AC$15</c:f>
            </c:numRef>
          </c:val>
          <c:extLst>
            <c:ext xmlns:c16="http://schemas.microsoft.com/office/drawing/2014/chart" uri="{C3380CC4-5D6E-409C-BE32-E72D297353CC}">
              <c16:uniqueId val="{0000001B-5038-484F-A017-A48CBABD82D5}"/>
            </c:ext>
          </c:extLst>
        </c:ser>
        <c:ser>
          <c:idx val="28"/>
          <c:order val="28"/>
          <c:spPr>
            <a:pattFill prst="narVert">
              <a:fgClr>
                <a:schemeClr val="accent6">
                  <a:shade val="50000"/>
                </a:schemeClr>
              </a:fgClr>
              <a:bgClr>
                <a:schemeClr val="accent6">
                  <a:shade val="5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50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родители'!$AD$6:$AD$15</c:f>
            </c:numRef>
          </c:val>
          <c:extLst>
            <c:ext xmlns:c16="http://schemas.microsoft.com/office/drawing/2014/chart" uri="{C3380CC4-5D6E-409C-BE32-E72D297353CC}">
              <c16:uniqueId val="{0000001C-5038-484F-A017-A48CBABD82D5}"/>
            </c:ext>
          </c:extLst>
        </c:ser>
        <c:ser>
          <c:idx val="29"/>
          <c:order val="29"/>
          <c:spPr>
            <a:pattFill prst="narVert">
              <a:fgClr>
                <a:schemeClr val="accent6">
                  <a:shade val="46000"/>
                </a:schemeClr>
              </a:fgClr>
              <a:bgClr>
                <a:schemeClr val="accent6">
                  <a:shade val="46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46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родители'!$AE$6:$AE$15</c:f>
            </c:numRef>
          </c:val>
          <c:extLst>
            <c:ext xmlns:c16="http://schemas.microsoft.com/office/drawing/2014/chart" uri="{C3380CC4-5D6E-409C-BE32-E72D297353CC}">
              <c16:uniqueId val="{0000001D-5038-484F-A017-A48CBABD82D5}"/>
            </c:ext>
          </c:extLst>
        </c:ser>
        <c:ser>
          <c:idx val="30"/>
          <c:order val="30"/>
          <c:spPr>
            <a:pattFill prst="narVert">
              <a:fgClr>
                <a:schemeClr val="accent6">
                  <a:shade val="42000"/>
                </a:schemeClr>
              </a:fgClr>
              <a:bgClr>
                <a:schemeClr val="accent6">
                  <a:shade val="42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42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родители'!$AF$6:$AF$15</c:f>
            </c:numRef>
          </c:val>
          <c:extLst>
            <c:ext xmlns:c16="http://schemas.microsoft.com/office/drawing/2014/chart" uri="{C3380CC4-5D6E-409C-BE32-E72D297353CC}">
              <c16:uniqueId val="{0000001E-5038-484F-A017-A48CBABD82D5}"/>
            </c:ext>
          </c:extLst>
        </c:ser>
        <c:ser>
          <c:idx val="31"/>
          <c:order val="31"/>
          <c:spPr>
            <a:pattFill prst="narVert">
              <a:fgClr>
                <a:schemeClr val="accent6">
                  <a:shade val="38000"/>
                </a:schemeClr>
              </a:fgClr>
              <a:bgClr>
                <a:schemeClr val="accent6">
                  <a:shade val="38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38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родители'!$AG$6:$AG$15</c:f>
            </c:numRef>
          </c:val>
          <c:extLst>
            <c:ext xmlns:c16="http://schemas.microsoft.com/office/drawing/2014/chart" uri="{C3380CC4-5D6E-409C-BE32-E72D297353CC}">
              <c16:uniqueId val="{0000001F-5038-484F-A017-A48CBABD82D5}"/>
            </c:ext>
          </c:extLst>
        </c:ser>
        <c:ser>
          <c:idx val="32"/>
          <c:order val="32"/>
          <c:spPr>
            <a:pattFill prst="narVert">
              <a:fgClr>
                <a:schemeClr val="accent6">
                  <a:shade val="34000"/>
                </a:schemeClr>
              </a:fgClr>
              <a:bgClr>
                <a:schemeClr val="accent6">
                  <a:shade val="34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>
                  <a:shade val="34000"/>
                </a:schemeClr>
              </a:innerShdw>
            </a:effectLst>
          </c:spPr>
          <c:invertIfNegative val="0"/>
          <c:cat>
            <c:strRef>
              <c:f>'свод родители'!$A$6:$A$15</c:f>
              <c:strCache>
                <c:ptCount val="10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</c:strCache>
            </c:strRef>
          </c:cat>
          <c:val>
            <c:numRef>
              <c:f>'свод родители'!$AH$6:$AH$15</c:f>
              <c:numCache>
                <c:formatCode>General</c:formatCode>
                <c:ptCount val="10"/>
                <c:pt idx="0">
                  <c:v>61.2</c:v>
                </c:pt>
                <c:pt idx="1">
                  <c:v>58.7</c:v>
                </c:pt>
                <c:pt idx="2">
                  <c:v>54.9</c:v>
                </c:pt>
                <c:pt idx="3">
                  <c:v>44.3</c:v>
                </c:pt>
                <c:pt idx="4">
                  <c:v>33.700000000000003</c:v>
                </c:pt>
                <c:pt idx="5">
                  <c:v>31.7</c:v>
                </c:pt>
                <c:pt idx="6">
                  <c:v>28.9</c:v>
                </c:pt>
                <c:pt idx="7">
                  <c:v>25.7</c:v>
                </c:pt>
                <c:pt idx="8">
                  <c:v>25.1</c:v>
                </c:pt>
                <c:pt idx="9">
                  <c:v>18.600000000000001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5038-484F-A017-A48CBABD82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315198584"/>
        <c:axId val="317252360"/>
      </c:barChart>
      <c:catAx>
        <c:axId val="315198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252360"/>
        <c:crosses val="autoZero"/>
        <c:auto val="1"/>
        <c:lblAlgn val="ctr"/>
        <c:lblOffset val="100"/>
        <c:noMultiLvlLbl val="0"/>
      </c:catAx>
      <c:valAx>
        <c:axId val="317252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198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700" b="0" i="0" kern="1200" cap="all" spc="150" baseline="0">
                <a:solidFill>
                  <a:srgbClr val="7F7F7F"/>
                </a:solidFill>
                <a:effectLst/>
              </a:rPr>
              <a:t>Оценка удовлетворенности качеством образования участников образовательных отношений: </a:t>
            </a:r>
            <a:r>
              <a:rPr lang="ru-RU" sz="700" b="1" i="0" kern="1200" cap="all" spc="150" baseline="0">
                <a:solidFill>
                  <a:srgbClr val="7F7F7F"/>
                </a:solidFill>
                <a:effectLst/>
              </a:rPr>
              <a:t>проблемы беспокоящие учителей  </a:t>
            </a:r>
            <a:endParaRPr lang="ru-RU" sz="7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'свод учителя+'!$A$1:$A$10</c:f>
              <c:strCache>
                <c:ptCount val="10"/>
                <c:pt idx="0">
                  <c:v>Перегруженность педагогов различными мероприятиями и проектами, не относящимися к образовательной программе</c:v>
                </c:pt>
                <c:pt idx="1">
                  <c:v>Низкая оплата труда</c:v>
                </c:pt>
                <c:pt idx="2">
                  <c:v> Низкий уровень мотивации к обучению у подрастающего поколения</c:v>
                </c:pt>
                <c:pt idx="3">
                  <c:v>Высокая документарная нагрузка педагогов</c:v>
                </c:pt>
                <c:pt idx="4">
                  <c:v>Большое количество неоплачиваемой работы у педагогов</c:v>
                </c:pt>
                <c:pt idx="5">
                  <c:v>Низкий уровень материально-технической оснащенности образовательного процесса</c:v>
                </c:pt>
                <c:pt idx="6">
                  <c:v>Трудозатратная процедура аттестации педагогических работников</c:v>
                </c:pt>
                <c:pt idx="7">
                  <c:v>Недостаток молодых педагогов</c:v>
                </c:pt>
                <c:pt idx="8">
                  <c:v>Недостаток площадей для осуществления образовательного процесса, и, как следствие обучение в 2 смены</c:v>
                </c:pt>
                <c:pt idx="9">
                  <c:v>Недостаток квалифицированных педагогов</c:v>
                </c:pt>
              </c:strCache>
            </c:strRef>
          </c:cat>
          <c:val>
            <c:numRef>
              <c:f>'свод учителя+'!$B$1:$B$10</c:f>
              <c:numCache>
                <c:formatCode>General</c:formatCode>
                <c:ptCount val="10"/>
                <c:pt idx="0">
                  <c:v>78.7</c:v>
                </c:pt>
                <c:pt idx="1">
                  <c:v>70.900000000000006</c:v>
                </c:pt>
                <c:pt idx="2">
                  <c:v>69.7</c:v>
                </c:pt>
                <c:pt idx="3">
                  <c:v>68.099999999999994</c:v>
                </c:pt>
                <c:pt idx="4">
                  <c:v>47.2</c:v>
                </c:pt>
                <c:pt idx="5">
                  <c:v>46.4</c:v>
                </c:pt>
                <c:pt idx="6">
                  <c:v>43.5</c:v>
                </c:pt>
                <c:pt idx="7">
                  <c:v>31.1</c:v>
                </c:pt>
                <c:pt idx="8">
                  <c:v>29.7</c:v>
                </c:pt>
                <c:pt idx="9" formatCode="0.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4A-4064-A6EB-F48E06188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7250008"/>
        <c:axId val="317253144"/>
      </c:barChart>
      <c:catAx>
        <c:axId val="317250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253144"/>
        <c:crosses val="autoZero"/>
        <c:auto val="1"/>
        <c:lblAlgn val="ctr"/>
        <c:lblOffset val="100"/>
        <c:noMultiLvlLbl val="0"/>
      </c:catAx>
      <c:valAx>
        <c:axId val="317253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250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/>
              <a:t>Аспекты  качества образования, отмеченные обучающимися, родителями и учителями, как наиболее значимые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Лист3!$B$2</c:f>
              <c:strCache>
                <c:ptCount val="1"/>
                <c:pt idx="0">
                  <c:v>родители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Лист3!$A$3:$A$20</c:f>
              <c:strCache>
                <c:ptCount val="18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  <c:pt idx="10">
                  <c:v>низкая оплата труда</c:v>
                </c:pt>
                <c:pt idx="11">
                  <c:v>высокая документарная нагрузка педагогов</c:v>
                </c:pt>
                <c:pt idx="12">
                  <c:v>низкий уровень мотивации к обучению у подрастающего поколения</c:v>
                </c:pt>
                <c:pt idx="13">
                  <c:v>перегруженность педагогов различными мероприятиями и проектами, не относящимися к образовательной программме</c:v>
                </c:pt>
                <c:pt idx="14">
                  <c:v>недостаток молодых педагогов</c:v>
                </c:pt>
                <c:pt idx="15">
                  <c:v>недостаток квалифицированных педагогов</c:v>
                </c:pt>
                <c:pt idx="16">
                  <c:v>большое количество неоплачиваемой работы у педагогов</c:v>
                </c:pt>
                <c:pt idx="17">
                  <c:v>трудозатратная процедура аттестации педагогических работников</c:v>
                </c:pt>
              </c:strCache>
            </c:strRef>
          </c:cat>
          <c:val>
            <c:numRef>
              <c:f>Лист3!$B$3:$B$20</c:f>
              <c:numCache>
                <c:formatCode>General</c:formatCode>
                <c:ptCount val="18"/>
                <c:pt idx="0">
                  <c:v>61.2</c:v>
                </c:pt>
                <c:pt idx="1">
                  <c:v>58.7</c:v>
                </c:pt>
                <c:pt idx="2">
                  <c:v>54.9</c:v>
                </c:pt>
                <c:pt idx="3">
                  <c:v>44.3</c:v>
                </c:pt>
                <c:pt idx="4">
                  <c:v>33.700000000000003</c:v>
                </c:pt>
                <c:pt idx="5">
                  <c:v>31.7</c:v>
                </c:pt>
                <c:pt idx="6">
                  <c:v>28.9</c:v>
                </c:pt>
                <c:pt idx="7">
                  <c:v>25.7</c:v>
                </c:pt>
                <c:pt idx="8">
                  <c:v>25.1</c:v>
                </c:pt>
                <c:pt idx="9">
                  <c:v>18.600000000000001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70-4907-8564-942ED108AB06}"/>
            </c:ext>
          </c:extLst>
        </c:ser>
        <c:ser>
          <c:idx val="1"/>
          <c:order val="1"/>
          <c:tx>
            <c:strRef>
              <c:f>Лист3!$C$2</c:f>
              <c:strCache>
                <c:ptCount val="1"/>
                <c:pt idx="0">
                  <c:v>обучающиеся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Лист3!$A$3:$A$20</c:f>
              <c:strCache>
                <c:ptCount val="18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  <c:pt idx="10">
                  <c:v>низкая оплата труда</c:v>
                </c:pt>
                <c:pt idx="11">
                  <c:v>высокая документарная нагрузка педагогов</c:v>
                </c:pt>
                <c:pt idx="12">
                  <c:v>низкий уровень мотивации к обучению у подрастающего поколения</c:v>
                </c:pt>
                <c:pt idx="13">
                  <c:v>перегруженность педагогов различными мероприятиями и проектами, не относящимися к образовательной программме</c:v>
                </c:pt>
                <c:pt idx="14">
                  <c:v>недостаток молодых педагогов</c:v>
                </c:pt>
                <c:pt idx="15">
                  <c:v>недостаток квалифицированных педагогов</c:v>
                </c:pt>
                <c:pt idx="16">
                  <c:v>большое количество неоплачиваемой работы у педагогов</c:v>
                </c:pt>
                <c:pt idx="17">
                  <c:v>трудозатратная процедура аттестации педагогических работников</c:v>
                </c:pt>
              </c:strCache>
            </c:strRef>
          </c:cat>
          <c:val>
            <c:numRef>
              <c:f>Лист3!$C$3:$C$20</c:f>
              <c:numCache>
                <c:formatCode>General</c:formatCode>
                <c:ptCount val="18"/>
                <c:pt idx="0">
                  <c:v>60.3</c:v>
                </c:pt>
                <c:pt idx="1">
                  <c:v>62.7</c:v>
                </c:pt>
                <c:pt idx="2">
                  <c:v>33.9</c:v>
                </c:pt>
                <c:pt idx="3">
                  <c:v>51.4</c:v>
                </c:pt>
                <c:pt idx="4">
                  <c:v>28.8</c:v>
                </c:pt>
                <c:pt idx="5">
                  <c:v>36.6</c:v>
                </c:pt>
                <c:pt idx="6">
                  <c:v>39.200000000000003</c:v>
                </c:pt>
                <c:pt idx="7">
                  <c:v>17.899999999999999</c:v>
                </c:pt>
                <c:pt idx="8">
                  <c:v>31.9</c:v>
                </c:pt>
                <c:pt idx="9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70-4907-8564-942ED108AB06}"/>
            </c:ext>
          </c:extLst>
        </c:ser>
        <c:ser>
          <c:idx val="2"/>
          <c:order val="2"/>
          <c:tx>
            <c:strRef>
              <c:f>Лист3!$D$2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Лист3!$A$3:$A$20</c:f>
              <c:strCache>
                <c:ptCount val="18"/>
                <c:pt idx="0">
                  <c:v>    Устаревшее оснащение школ</c:v>
                </c:pt>
                <c:pt idx="1">
                  <c:v> Перегруженность домашними заданиями</c:v>
                </c:pt>
                <c:pt idx="2">
                  <c:v>    Отсутствие интернета и доступа к электронным образовательным ресурсам в школе</c:v>
                </c:pt>
                <c:pt idx="3">
                  <c:v>    Слишком много контрольных работ</c:v>
                </c:pt>
                <c:pt idx="4">
                  <c:v>  Отсутствие индивидуальных образовательных траекторий</c:v>
                </c:pt>
                <c:pt idx="5">
                  <c:v>   Недостаток площадей для осуществления образовательного процесса, и, как следствие обучение в 2 смены</c:v>
                </c:pt>
                <c:pt idx="6">
                  <c:v>  Плохое питание</c:v>
                </c:pt>
                <c:pt idx="7">
                  <c:v>Отсутствие системы безопасности в школе</c:v>
                </c:pt>
                <c:pt idx="8">
                  <c:v>   Неинтересные уроки</c:v>
                </c:pt>
                <c:pt idx="9">
                  <c:v>  Отсутствие в школе системы работы с отстающими учениками</c:v>
                </c:pt>
                <c:pt idx="10">
                  <c:v>низкая оплата труда</c:v>
                </c:pt>
                <c:pt idx="11">
                  <c:v>высокая документарная нагрузка педагогов</c:v>
                </c:pt>
                <c:pt idx="12">
                  <c:v>низкий уровень мотивации к обучению у подрастающего поколения</c:v>
                </c:pt>
                <c:pt idx="13">
                  <c:v>перегруженность педагогов различными мероприятиями и проектами, не относящимися к образовательной программме</c:v>
                </c:pt>
                <c:pt idx="14">
                  <c:v>недостаток молодых педагогов</c:v>
                </c:pt>
                <c:pt idx="15">
                  <c:v>недостаток квалифицированных педагогов</c:v>
                </c:pt>
                <c:pt idx="16">
                  <c:v>большое количество неоплачиваемой работы у педагогов</c:v>
                </c:pt>
                <c:pt idx="17">
                  <c:v>трудозатратная процедура аттестации педагогических работников</c:v>
                </c:pt>
              </c:strCache>
            </c:strRef>
          </c:cat>
          <c:val>
            <c:numRef>
              <c:f>Лист3!$D$3:$D$20</c:f>
              <c:numCache>
                <c:formatCode>General</c:formatCode>
                <c:ptCount val="18"/>
                <c:pt idx="0">
                  <c:v>46.4</c:v>
                </c:pt>
                <c:pt idx="5">
                  <c:v>29.7</c:v>
                </c:pt>
                <c:pt idx="10">
                  <c:v>70.900000000000006</c:v>
                </c:pt>
                <c:pt idx="11">
                  <c:v>68.099999999999994</c:v>
                </c:pt>
                <c:pt idx="12">
                  <c:v>69.7</c:v>
                </c:pt>
                <c:pt idx="13">
                  <c:v>78.7</c:v>
                </c:pt>
                <c:pt idx="14">
                  <c:v>31.1</c:v>
                </c:pt>
                <c:pt idx="15">
                  <c:v>11</c:v>
                </c:pt>
                <c:pt idx="16">
                  <c:v>47.2</c:v>
                </c:pt>
                <c:pt idx="17">
                  <c:v>43.5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70-4907-8564-942ED108AB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7257064"/>
        <c:axId val="317257456"/>
      </c:barChart>
      <c:catAx>
        <c:axId val="317257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257456"/>
        <c:crosses val="autoZero"/>
        <c:auto val="1"/>
        <c:lblAlgn val="l"/>
        <c:lblOffset val="100"/>
        <c:noMultiLvlLbl val="0"/>
      </c:catAx>
      <c:valAx>
        <c:axId val="317257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257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2022-06-15T09:57:00Z</cp:lastPrinted>
  <dcterms:created xsi:type="dcterms:W3CDTF">2022-07-04T06:37:00Z</dcterms:created>
  <dcterms:modified xsi:type="dcterms:W3CDTF">2022-07-04T06:37:00Z</dcterms:modified>
</cp:coreProperties>
</file>